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E54B3" w14:textId="461FE3C2" w:rsidR="00FA0990" w:rsidRPr="000E5E5A" w:rsidRDefault="00FA0990" w:rsidP="00AB7B17">
      <w:pPr>
        <w:spacing w:line="240" w:lineRule="auto"/>
        <w:ind w:firstLine="0"/>
        <w:jc w:val="center"/>
        <w:rPr>
          <w:rFonts w:ascii="Cambria" w:hAnsi="Cambria" w:cs="Times New Roman"/>
          <w:b/>
          <w:bCs/>
          <w:color w:val="000000"/>
          <w:sz w:val="28"/>
          <w:szCs w:val="28"/>
          <w:lang w:val="en-US"/>
        </w:rPr>
      </w:pPr>
      <w:bookmarkStart w:id="0" w:name="_Hlk91224319"/>
      <w:bookmarkEnd w:id="0"/>
      <w:r w:rsidRPr="000E5E5A">
        <w:rPr>
          <w:rFonts w:ascii="Cambria" w:hAnsi="Cambria" w:cs="Times New Roman"/>
          <w:b/>
          <w:bCs/>
          <w:color w:val="000000"/>
          <w:sz w:val="28"/>
          <w:szCs w:val="28"/>
        </w:rPr>
        <w:t xml:space="preserve">PENGARUH </w:t>
      </w:r>
      <w:r w:rsidRPr="000E5E5A">
        <w:rPr>
          <w:rFonts w:ascii="Cambria" w:hAnsi="Cambria" w:cs="Times New Roman"/>
          <w:b/>
          <w:bCs/>
          <w:color w:val="000000"/>
          <w:sz w:val="28"/>
          <w:szCs w:val="28"/>
          <w:lang w:val="en-US"/>
        </w:rPr>
        <w:t xml:space="preserve">MANAJEMEN LABA DAN </w:t>
      </w:r>
      <w:r w:rsidRPr="000E5E5A">
        <w:rPr>
          <w:rFonts w:ascii="Cambria" w:hAnsi="Cambria" w:cs="Times New Roman"/>
          <w:b/>
          <w:bCs/>
          <w:i/>
          <w:iCs/>
          <w:color w:val="000000"/>
          <w:sz w:val="28"/>
          <w:szCs w:val="28"/>
          <w:lang w:val="en-US"/>
        </w:rPr>
        <w:t>TRANSFER PRICING</w:t>
      </w:r>
      <w:r w:rsidR="00DA1000" w:rsidRPr="000E5E5A">
        <w:rPr>
          <w:rFonts w:ascii="Cambria" w:hAnsi="Cambria" w:cs="Times New Roman"/>
          <w:b/>
          <w:bCs/>
          <w:color w:val="000000"/>
          <w:sz w:val="28"/>
          <w:szCs w:val="28"/>
          <w:lang w:val="en-US"/>
        </w:rPr>
        <w:t xml:space="preserve"> TERHADAP PENGHINDARAN PAJAK</w:t>
      </w:r>
    </w:p>
    <w:p w14:paraId="50715F6B" w14:textId="4341CE12" w:rsidR="00A34C6B" w:rsidRDefault="00A34C6B" w:rsidP="00AB7B17">
      <w:pPr>
        <w:spacing w:line="240" w:lineRule="auto"/>
        <w:ind w:firstLine="0"/>
        <w:jc w:val="center"/>
        <w:rPr>
          <w:rFonts w:cs="Times New Roman"/>
          <w:b/>
          <w:bCs/>
          <w:color w:val="000000"/>
          <w:szCs w:val="24"/>
          <w:lang w:val="en-US"/>
        </w:rPr>
      </w:pPr>
    </w:p>
    <w:p w14:paraId="2D364245" w14:textId="77312D20" w:rsidR="00ED2991" w:rsidRDefault="00ED2991" w:rsidP="00ED2991">
      <w:pPr>
        <w:spacing w:line="240" w:lineRule="auto"/>
        <w:ind w:firstLine="0"/>
        <w:jc w:val="center"/>
        <w:rPr>
          <w:rFonts w:ascii="Cambria" w:hAnsi="Cambria" w:cs="Times New Roman"/>
          <w:b/>
          <w:bCs/>
          <w:color w:val="000000"/>
          <w:sz w:val="22"/>
          <w:lang w:val="en-US"/>
        </w:rPr>
      </w:pPr>
      <w:r w:rsidRPr="003B612D">
        <w:rPr>
          <w:rFonts w:ascii="Cambria" w:hAnsi="Cambria" w:cs="Times New Roman"/>
          <w:b/>
          <w:bCs/>
          <w:color w:val="000000"/>
          <w:sz w:val="22"/>
          <w:lang w:val="en-US"/>
        </w:rPr>
        <w:t>Hanafi Hidayat</w:t>
      </w:r>
      <w:r w:rsidRPr="003B612D">
        <w:rPr>
          <w:rFonts w:ascii="Cambria" w:hAnsi="Cambria" w:cs="Times New Roman"/>
          <w:b/>
          <w:bCs/>
          <w:color w:val="000000"/>
          <w:sz w:val="22"/>
          <w:vertAlign w:val="superscript"/>
          <w:lang w:val="en-US"/>
        </w:rPr>
        <w:t>1</w:t>
      </w:r>
      <w:r>
        <w:rPr>
          <w:rFonts w:ascii="Cambria" w:hAnsi="Cambria" w:cs="Times New Roman"/>
          <w:b/>
          <w:bCs/>
          <w:color w:val="000000"/>
          <w:sz w:val="22"/>
          <w:lang w:val="en-US"/>
        </w:rPr>
        <w:t xml:space="preserve">, </w:t>
      </w:r>
    </w:p>
    <w:p w14:paraId="081F92DB" w14:textId="77777777" w:rsidR="00ED2991" w:rsidRPr="003B612D" w:rsidRDefault="00ED2991" w:rsidP="00ED2991">
      <w:pPr>
        <w:spacing w:line="240" w:lineRule="auto"/>
        <w:ind w:firstLine="142"/>
        <w:jc w:val="center"/>
        <w:rPr>
          <w:rFonts w:ascii="Cambria" w:hAnsi="Cambria" w:cs="Times New Roman"/>
          <w:noProof/>
          <w:sz w:val="22"/>
        </w:rPr>
      </w:pPr>
      <w:r>
        <w:rPr>
          <w:rFonts w:ascii="Cambria" w:hAnsi="Cambria" w:cs="Times New Roman"/>
          <w:color w:val="222222"/>
          <w:sz w:val="22"/>
          <w:shd w:val="clear" w:color="auto" w:fill="FFFFFF"/>
        </w:rPr>
        <w:t>Politeknik Keuangan Negara STAN, Indonesia</w:t>
      </w:r>
    </w:p>
    <w:p w14:paraId="349D0D9A" w14:textId="77777777" w:rsidR="00ED2991" w:rsidRPr="003B612D" w:rsidRDefault="00ED2991" w:rsidP="00ED2991">
      <w:pPr>
        <w:spacing w:line="240" w:lineRule="auto"/>
        <w:ind w:firstLine="0"/>
        <w:jc w:val="center"/>
        <w:rPr>
          <w:rFonts w:ascii="Cambria" w:hAnsi="Cambria" w:cs="Times New Roman"/>
          <w:b/>
          <w:bCs/>
          <w:color w:val="000000"/>
          <w:sz w:val="22"/>
          <w:lang w:val="en-US"/>
        </w:rPr>
      </w:pPr>
    </w:p>
    <w:p w14:paraId="2DC85235" w14:textId="77777777" w:rsidR="00ED2991" w:rsidRPr="003B612D" w:rsidRDefault="00ED2991" w:rsidP="00ED2991">
      <w:pPr>
        <w:spacing w:line="240" w:lineRule="auto"/>
        <w:ind w:firstLine="142"/>
        <w:jc w:val="center"/>
        <w:rPr>
          <w:rFonts w:ascii="Cambria" w:hAnsi="Cambria"/>
          <w:noProof/>
          <w:sz w:val="22"/>
        </w:rPr>
      </w:pPr>
      <w:r>
        <w:rPr>
          <w:rFonts w:ascii="Cambria" w:hAnsi="Cambria" w:cs="Times New Roman"/>
          <w:b/>
          <w:bCs/>
          <w:color w:val="000000"/>
          <w:sz w:val="22"/>
          <w:lang w:val="en-US"/>
        </w:rPr>
        <w:t>Suparna Wijaya</w:t>
      </w:r>
      <w:r w:rsidRPr="00115851">
        <w:rPr>
          <w:rFonts w:ascii="Cambria" w:hAnsi="Cambria" w:cs="Times New Roman"/>
          <w:b/>
          <w:bCs/>
          <w:color w:val="000000"/>
          <w:sz w:val="22"/>
          <w:vertAlign w:val="superscript"/>
          <w:lang w:val="en-US"/>
        </w:rPr>
        <w:t>2</w:t>
      </w:r>
    </w:p>
    <w:p w14:paraId="0B64B8F9" w14:textId="77777777" w:rsidR="00ED2991" w:rsidRPr="003B612D" w:rsidRDefault="00ED2991" w:rsidP="00ED2991">
      <w:pPr>
        <w:spacing w:line="240" w:lineRule="auto"/>
        <w:ind w:firstLine="142"/>
        <w:jc w:val="center"/>
        <w:rPr>
          <w:rFonts w:ascii="Cambria" w:hAnsi="Cambria" w:cs="Times New Roman"/>
          <w:noProof/>
          <w:sz w:val="22"/>
        </w:rPr>
      </w:pPr>
      <w:r>
        <w:rPr>
          <w:rFonts w:ascii="Cambria" w:hAnsi="Cambria" w:cs="Times New Roman"/>
          <w:color w:val="222222"/>
          <w:sz w:val="22"/>
          <w:shd w:val="clear" w:color="auto" w:fill="FFFFFF"/>
        </w:rPr>
        <w:t>Politeknik Keuangan Negara STAN, Indonesia</w:t>
      </w:r>
    </w:p>
    <w:p w14:paraId="3A775E36" w14:textId="77777777" w:rsidR="00456831" w:rsidRPr="000E5E5A" w:rsidRDefault="00456831" w:rsidP="00AB7B17">
      <w:pPr>
        <w:spacing w:line="240" w:lineRule="auto"/>
        <w:ind w:firstLine="142"/>
        <w:jc w:val="center"/>
        <w:rPr>
          <w:rFonts w:ascii="Cambria" w:hAnsi="Cambria" w:cs="Times New Roman"/>
          <w:noProof/>
          <w:sz w:val="22"/>
        </w:rPr>
      </w:pPr>
    </w:p>
    <w:p w14:paraId="1FB556DB" w14:textId="77777777" w:rsidR="001F334D" w:rsidRDefault="001F334D" w:rsidP="001F334D">
      <w:pPr>
        <w:spacing w:line="240" w:lineRule="auto"/>
        <w:ind w:firstLine="0"/>
        <w:jc w:val="center"/>
        <w:rPr>
          <w:b/>
          <w:bCs/>
          <w:i/>
          <w:iCs/>
          <w:sz w:val="20"/>
          <w:szCs w:val="20"/>
        </w:rPr>
      </w:pPr>
    </w:p>
    <w:p w14:paraId="1F22A5D6" w14:textId="09085519" w:rsidR="001F334D" w:rsidRPr="000E5E5A" w:rsidRDefault="001F334D" w:rsidP="001F334D">
      <w:pPr>
        <w:spacing w:line="240" w:lineRule="auto"/>
        <w:ind w:firstLine="0"/>
        <w:jc w:val="center"/>
        <w:rPr>
          <w:rFonts w:ascii="Cambria" w:hAnsi="Cambria"/>
          <w:i/>
          <w:iCs/>
          <w:sz w:val="20"/>
          <w:szCs w:val="18"/>
        </w:rPr>
      </w:pPr>
      <w:r w:rsidRPr="000E5E5A">
        <w:rPr>
          <w:rFonts w:ascii="Cambria" w:hAnsi="Cambria"/>
          <w:b/>
          <w:bCs/>
          <w:i/>
          <w:iCs/>
          <w:sz w:val="22"/>
        </w:rPr>
        <w:t>ABSTRACT</w:t>
      </w:r>
    </w:p>
    <w:p w14:paraId="0F40D671" w14:textId="3DC8BF47" w:rsidR="001F334D" w:rsidRPr="000E5E5A" w:rsidRDefault="001F334D" w:rsidP="000E5E5A">
      <w:pPr>
        <w:spacing w:line="240" w:lineRule="auto"/>
        <w:ind w:firstLine="0"/>
        <w:rPr>
          <w:rFonts w:ascii="Cambria" w:hAnsi="Cambria"/>
          <w:i/>
          <w:iCs/>
          <w:sz w:val="22"/>
          <w:szCs w:val="20"/>
          <w:lang w:val="en-GB"/>
        </w:rPr>
      </w:pPr>
      <w:r w:rsidRPr="000E5E5A">
        <w:rPr>
          <w:rFonts w:ascii="Cambria" w:hAnsi="Cambria"/>
          <w:i/>
          <w:iCs/>
          <w:sz w:val="22"/>
          <w:szCs w:val="20"/>
          <w:lang w:val="en-GB"/>
        </w:rPr>
        <w:t>The tax avoidance practices by companies in Indonesia causes tax revenue target</w:t>
      </w:r>
      <w:r w:rsidR="006D66D8">
        <w:rPr>
          <w:rFonts w:ascii="Cambria" w:hAnsi="Cambria"/>
          <w:i/>
          <w:iCs/>
          <w:sz w:val="22"/>
          <w:szCs w:val="20"/>
          <w:lang w:val="en-GB"/>
        </w:rPr>
        <w:t>s to be</w:t>
      </w:r>
      <w:r w:rsidRPr="000E5E5A">
        <w:rPr>
          <w:rFonts w:ascii="Cambria" w:hAnsi="Cambria"/>
          <w:i/>
          <w:iCs/>
          <w:sz w:val="22"/>
          <w:szCs w:val="20"/>
          <w:lang w:val="en-GB"/>
        </w:rPr>
        <w:t xml:space="preserve"> difficult to achieve. This study aims to determine the effect of earning management and transfer pricing on the tax avoidance. The object of research is agricultural sector companies listed on Indonesia Stock Exchange in the 2016-2020 period. The data used is secondary data consisting of 35 financial reports picked using purposive sampling as sample selection method. Data analysis was performed using Common Effect Model-GLS Weights. The test results show that accrual earning management has no significant effect on tax avoidance, real earning management t</w:t>
      </w:r>
      <w:r w:rsidR="006D66D8">
        <w:rPr>
          <w:rFonts w:ascii="Cambria" w:hAnsi="Cambria"/>
          <w:i/>
          <w:iCs/>
          <w:sz w:val="22"/>
          <w:szCs w:val="20"/>
          <w:lang w:val="en-GB"/>
        </w:rPr>
        <w:t>h</w:t>
      </w:r>
      <w:r w:rsidRPr="000E5E5A">
        <w:rPr>
          <w:rFonts w:ascii="Cambria" w:hAnsi="Cambria"/>
          <w:i/>
          <w:iCs/>
          <w:sz w:val="22"/>
          <w:szCs w:val="20"/>
          <w:lang w:val="en-GB"/>
        </w:rPr>
        <w:t>rough operating cash-flo</w:t>
      </w:r>
      <w:bookmarkStart w:id="1" w:name="_GoBack"/>
      <w:bookmarkEnd w:id="1"/>
      <w:r w:rsidRPr="000E5E5A">
        <w:rPr>
          <w:rFonts w:ascii="Cambria" w:hAnsi="Cambria"/>
          <w:i/>
          <w:iCs/>
          <w:sz w:val="22"/>
          <w:szCs w:val="20"/>
          <w:lang w:val="en-GB"/>
        </w:rPr>
        <w:t>w and real earning management t</w:t>
      </w:r>
      <w:r w:rsidR="006D66D8">
        <w:rPr>
          <w:rFonts w:ascii="Cambria" w:hAnsi="Cambria"/>
          <w:i/>
          <w:iCs/>
          <w:sz w:val="22"/>
          <w:szCs w:val="20"/>
          <w:lang w:val="en-GB"/>
        </w:rPr>
        <w:t>h</w:t>
      </w:r>
      <w:r w:rsidRPr="000E5E5A">
        <w:rPr>
          <w:rFonts w:ascii="Cambria" w:hAnsi="Cambria"/>
          <w:i/>
          <w:iCs/>
          <w:sz w:val="22"/>
          <w:szCs w:val="20"/>
          <w:lang w:val="en-GB"/>
        </w:rPr>
        <w:t>rough overproduction has significant negative effect on tax avoidance. However, real earning management t</w:t>
      </w:r>
      <w:r w:rsidR="006D66D8">
        <w:rPr>
          <w:rFonts w:ascii="Cambria" w:hAnsi="Cambria"/>
          <w:i/>
          <w:iCs/>
          <w:sz w:val="22"/>
          <w:szCs w:val="20"/>
          <w:lang w:val="en-GB"/>
        </w:rPr>
        <w:t>h</w:t>
      </w:r>
      <w:r w:rsidRPr="000E5E5A">
        <w:rPr>
          <w:rFonts w:ascii="Cambria" w:hAnsi="Cambria"/>
          <w:i/>
          <w:iCs/>
          <w:sz w:val="22"/>
          <w:szCs w:val="20"/>
          <w:lang w:val="en-GB"/>
        </w:rPr>
        <w:t>rough discretionary expense and transfer pricing has significant positive effect on tax avoidance.</w:t>
      </w:r>
    </w:p>
    <w:p w14:paraId="67C3B0EA" w14:textId="459306FE" w:rsidR="00FA0990" w:rsidRPr="00C5133C" w:rsidRDefault="001F334D" w:rsidP="001F334D">
      <w:pPr>
        <w:spacing w:line="240" w:lineRule="auto"/>
        <w:ind w:firstLine="0"/>
        <w:rPr>
          <w:rFonts w:ascii="Cambria" w:hAnsi="Cambria" w:cs="Times New Roman"/>
          <w:sz w:val="28"/>
          <w:szCs w:val="28"/>
        </w:rPr>
      </w:pPr>
      <w:r w:rsidRPr="00C5133C">
        <w:rPr>
          <w:rFonts w:ascii="Cambria" w:hAnsi="Cambria"/>
          <w:b/>
          <w:bCs/>
          <w:i/>
          <w:iCs/>
          <w:sz w:val="22"/>
          <w:szCs w:val="20"/>
          <w:lang w:val="en-GB"/>
        </w:rPr>
        <w:t>Keywords</w:t>
      </w:r>
      <w:r w:rsidRPr="00C5133C">
        <w:rPr>
          <w:rFonts w:ascii="Cambria" w:hAnsi="Cambria"/>
          <w:i/>
          <w:iCs/>
          <w:sz w:val="22"/>
          <w:szCs w:val="20"/>
          <w:lang w:val="en-GB"/>
        </w:rPr>
        <w:t>: tax avoidance, earning management, transfer pricing</w:t>
      </w:r>
    </w:p>
    <w:p w14:paraId="70672F85" w14:textId="77777777" w:rsidR="001F334D" w:rsidRDefault="001F334D" w:rsidP="00AB7B17">
      <w:pPr>
        <w:pStyle w:val="Heading1"/>
        <w:spacing w:after="0" w:line="240" w:lineRule="auto"/>
        <w:rPr>
          <w:sz w:val="20"/>
          <w:szCs w:val="22"/>
        </w:rPr>
      </w:pPr>
      <w:bookmarkStart w:id="2" w:name="_Toc84232388"/>
    </w:p>
    <w:p w14:paraId="6F699D92" w14:textId="643F6DE1" w:rsidR="00C374C8" w:rsidRPr="00C5133C" w:rsidRDefault="00C374C8" w:rsidP="00AB7B17">
      <w:pPr>
        <w:pStyle w:val="Heading1"/>
        <w:spacing w:after="0" w:line="240" w:lineRule="auto"/>
        <w:rPr>
          <w:rFonts w:ascii="Cambria" w:hAnsi="Cambria"/>
          <w:sz w:val="22"/>
          <w:szCs w:val="24"/>
        </w:rPr>
      </w:pPr>
      <w:r w:rsidRPr="00C5133C">
        <w:rPr>
          <w:rFonts w:ascii="Cambria" w:hAnsi="Cambria"/>
          <w:sz w:val="22"/>
          <w:szCs w:val="24"/>
        </w:rPr>
        <w:t>A</w:t>
      </w:r>
      <w:r w:rsidR="00FA0990" w:rsidRPr="00C5133C">
        <w:rPr>
          <w:rFonts w:ascii="Cambria" w:hAnsi="Cambria"/>
          <w:sz w:val="22"/>
          <w:szCs w:val="24"/>
        </w:rPr>
        <w:t>BSTRAK</w:t>
      </w:r>
      <w:bookmarkEnd w:id="2"/>
    </w:p>
    <w:p w14:paraId="47274645" w14:textId="77777777" w:rsidR="00497315" w:rsidRPr="00C5133C" w:rsidRDefault="00EC4952" w:rsidP="00AB7B17">
      <w:pPr>
        <w:spacing w:line="240" w:lineRule="auto"/>
        <w:ind w:firstLine="0"/>
        <w:rPr>
          <w:rFonts w:ascii="Cambria" w:hAnsi="Cambria"/>
          <w:sz w:val="22"/>
          <w:szCs w:val="20"/>
          <w:lang w:val="en-GB"/>
        </w:rPr>
      </w:pPr>
      <w:r w:rsidRPr="00C5133C">
        <w:rPr>
          <w:rFonts w:ascii="Cambria" w:hAnsi="Cambria"/>
          <w:sz w:val="22"/>
          <w:szCs w:val="20"/>
          <w:lang w:val="en-GB"/>
        </w:rPr>
        <w:t>P</w:t>
      </w:r>
      <w:r w:rsidR="0048741C" w:rsidRPr="00C5133C">
        <w:rPr>
          <w:rFonts w:ascii="Cambria" w:hAnsi="Cambria"/>
          <w:sz w:val="22"/>
          <w:szCs w:val="20"/>
          <w:lang w:val="en-GB"/>
        </w:rPr>
        <w:t>raktik-praktik penghindaran pajak yang dilakukan oleh perusahaan-perusahaan menyebabkan penerimaan pajak di Indonesia tidak dapat mencapai target. P</w:t>
      </w:r>
      <w:r w:rsidRPr="00C5133C">
        <w:rPr>
          <w:rFonts w:ascii="Cambria" w:hAnsi="Cambria"/>
          <w:sz w:val="22"/>
          <w:szCs w:val="20"/>
          <w:lang w:val="en-GB"/>
        </w:rPr>
        <w:t xml:space="preserve">enelitian ini bertujuan untuk mengetahui pengaruh manajemen laba dan </w:t>
      </w:r>
      <w:r w:rsidRPr="00C5133C">
        <w:rPr>
          <w:rFonts w:ascii="Cambria" w:hAnsi="Cambria"/>
          <w:i/>
          <w:sz w:val="22"/>
          <w:szCs w:val="20"/>
          <w:lang w:val="en-GB"/>
        </w:rPr>
        <w:t>transfer pricing</w:t>
      </w:r>
      <w:r w:rsidRPr="00C5133C">
        <w:rPr>
          <w:rFonts w:ascii="Cambria" w:hAnsi="Cambria"/>
          <w:sz w:val="22"/>
          <w:szCs w:val="20"/>
          <w:lang w:val="en-GB"/>
        </w:rPr>
        <w:t xml:space="preserve"> terhadap penghindaran pajak. Objek penelitian ini adalah perusahaan sektor pertanian di Indonesia yang terdaftar di Bursa Efek Indonesia pada periode 2016-2020. Pendekatan penelitian yang digunakan adalah penelitian kuantitatif. Data yang digunakan merupakan data sekunder yang terdiri dari 35 laporan keuangan perusahaan yang dipilih menggunakan metode </w:t>
      </w:r>
      <w:r w:rsidRPr="00C5133C">
        <w:rPr>
          <w:rFonts w:ascii="Cambria" w:hAnsi="Cambria"/>
          <w:i/>
          <w:sz w:val="22"/>
          <w:szCs w:val="20"/>
          <w:lang w:val="en-GB"/>
        </w:rPr>
        <w:t>purposive sampling</w:t>
      </w:r>
      <w:r w:rsidRPr="00C5133C">
        <w:rPr>
          <w:rFonts w:ascii="Cambria" w:hAnsi="Cambria"/>
          <w:sz w:val="22"/>
          <w:szCs w:val="20"/>
          <w:lang w:val="en-GB"/>
        </w:rPr>
        <w:t xml:space="preserve">. Analisis data dilakukan dengan metode </w:t>
      </w:r>
      <w:r w:rsidRPr="00C5133C">
        <w:rPr>
          <w:rFonts w:ascii="Cambria" w:hAnsi="Cambria"/>
          <w:i/>
          <w:sz w:val="22"/>
          <w:szCs w:val="20"/>
          <w:lang w:val="en-GB"/>
        </w:rPr>
        <w:t xml:space="preserve">Common Effect Model- GLS Weights. </w:t>
      </w:r>
      <w:r w:rsidR="00DA1000" w:rsidRPr="00C5133C">
        <w:rPr>
          <w:rFonts w:ascii="Cambria" w:hAnsi="Cambria"/>
          <w:sz w:val="22"/>
          <w:szCs w:val="20"/>
          <w:lang w:val="en-GB"/>
        </w:rPr>
        <w:t xml:space="preserve">Hasil </w:t>
      </w:r>
      <w:r w:rsidR="00B84E03" w:rsidRPr="00C5133C">
        <w:rPr>
          <w:rFonts w:ascii="Cambria" w:hAnsi="Cambria"/>
          <w:sz w:val="22"/>
          <w:szCs w:val="20"/>
          <w:lang w:val="en-GB"/>
        </w:rPr>
        <w:t xml:space="preserve">pengujian </w:t>
      </w:r>
      <w:r w:rsidRPr="00C5133C">
        <w:rPr>
          <w:rFonts w:ascii="Cambria" w:hAnsi="Cambria"/>
          <w:sz w:val="22"/>
          <w:szCs w:val="20"/>
          <w:lang w:val="en-GB"/>
        </w:rPr>
        <w:t>menunjukkan bahwa manajemen laba akrual tidak ber</w:t>
      </w:r>
      <w:r w:rsidR="0065205A" w:rsidRPr="00C5133C">
        <w:rPr>
          <w:rFonts w:ascii="Cambria" w:hAnsi="Cambria"/>
          <w:sz w:val="22"/>
          <w:szCs w:val="20"/>
          <w:lang w:val="en-GB"/>
        </w:rPr>
        <w:t>pengaruh signifikan, manajemen laba rii</w:t>
      </w:r>
      <w:r w:rsidRPr="00C5133C">
        <w:rPr>
          <w:rFonts w:ascii="Cambria" w:hAnsi="Cambria"/>
          <w:sz w:val="22"/>
          <w:szCs w:val="20"/>
          <w:lang w:val="en-GB"/>
        </w:rPr>
        <w:t>l arus kas dan biaya produksi berpengaruh negatif signifikan, sedangkan manajemen laba biaya diskresioner dan transfer pricing berdampak positif signifikan terhadap penghindaran pajak</w:t>
      </w:r>
      <w:r w:rsidR="00497315" w:rsidRPr="00C5133C">
        <w:rPr>
          <w:rFonts w:ascii="Cambria" w:hAnsi="Cambria"/>
          <w:sz w:val="22"/>
          <w:szCs w:val="20"/>
          <w:lang w:val="en-GB"/>
        </w:rPr>
        <w:t>.</w:t>
      </w:r>
    </w:p>
    <w:p w14:paraId="2E8A2828" w14:textId="7896AAE7" w:rsidR="00335A30" w:rsidRPr="00C5133C" w:rsidRDefault="00FA0990" w:rsidP="00AB7B17">
      <w:pPr>
        <w:spacing w:line="240" w:lineRule="auto"/>
        <w:ind w:firstLine="0"/>
        <w:rPr>
          <w:rFonts w:ascii="Cambria" w:hAnsi="Cambria"/>
          <w:i/>
          <w:sz w:val="22"/>
          <w:szCs w:val="20"/>
          <w:lang w:val="en-GB"/>
        </w:rPr>
      </w:pPr>
      <w:r w:rsidRPr="00C5133C">
        <w:rPr>
          <w:rFonts w:ascii="Cambria" w:hAnsi="Cambria"/>
          <w:b/>
          <w:bCs/>
          <w:sz w:val="22"/>
          <w:szCs w:val="20"/>
          <w:lang w:val="en-GB"/>
        </w:rPr>
        <w:t xml:space="preserve">Kata Kunci: </w:t>
      </w:r>
      <w:r w:rsidR="00335A30" w:rsidRPr="00C5133C">
        <w:rPr>
          <w:rFonts w:ascii="Cambria" w:hAnsi="Cambria"/>
          <w:sz w:val="22"/>
          <w:szCs w:val="20"/>
          <w:lang w:val="en-GB"/>
        </w:rPr>
        <w:t xml:space="preserve">penghindaran pajak, manajemen laba, </w:t>
      </w:r>
      <w:r w:rsidR="00335A30" w:rsidRPr="00C5133C">
        <w:rPr>
          <w:rFonts w:ascii="Cambria" w:hAnsi="Cambria"/>
          <w:i/>
          <w:sz w:val="22"/>
          <w:szCs w:val="20"/>
          <w:lang w:val="en-GB"/>
        </w:rPr>
        <w:t>transfer pricing</w:t>
      </w:r>
    </w:p>
    <w:p w14:paraId="63F2E4FE" w14:textId="07B80804" w:rsidR="000B4A27" w:rsidRPr="00C5133C" w:rsidRDefault="001F334D" w:rsidP="00AB7B17">
      <w:pPr>
        <w:spacing w:line="240" w:lineRule="auto"/>
        <w:ind w:firstLine="0"/>
        <w:rPr>
          <w:rFonts w:ascii="Cambria" w:hAnsi="Cambria"/>
          <w:b/>
          <w:bCs/>
          <w:iCs/>
          <w:lang w:val="en-GB"/>
        </w:rPr>
      </w:pPr>
      <w:r w:rsidRPr="00C5133C">
        <w:rPr>
          <w:rFonts w:ascii="Cambria" w:hAnsi="Cambria"/>
          <w:b/>
          <w:bCs/>
          <w:iCs/>
          <w:sz w:val="22"/>
          <w:szCs w:val="20"/>
          <w:lang w:val="en-GB"/>
        </w:rPr>
        <w:t xml:space="preserve">Klasifikasi </w:t>
      </w:r>
      <w:proofErr w:type="gramStart"/>
      <w:r w:rsidRPr="00C5133C">
        <w:rPr>
          <w:rFonts w:ascii="Cambria" w:hAnsi="Cambria"/>
          <w:b/>
          <w:bCs/>
          <w:iCs/>
          <w:sz w:val="22"/>
          <w:szCs w:val="20"/>
          <w:lang w:val="en-GB"/>
        </w:rPr>
        <w:t>JEL :</w:t>
      </w:r>
      <w:proofErr w:type="gramEnd"/>
      <w:r w:rsidRPr="00C5133C">
        <w:rPr>
          <w:rFonts w:ascii="Cambria" w:hAnsi="Cambria"/>
          <w:b/>
          <w:bCs/>
          <w:iCs/>
          <w:sz w:val="22"/>
          <w:szCs w:val="20"/>
          <w:lang w:val="en-GB"/>
        </w:rPr>
        <w:t xml:space="preserve"> </w:t>
      </w:r>
    </w:p>
    <w:p w14:paraId="5E1493E1" w14:textId="12C20EBD" w:rsidR="00335A30" w:rsidRPr="00FA0990" w:rsidRDefault="00335A30" w:rsidP="00AB7B17">
      <w:pPr>
        <w:spacing w:line="240" w:lineRule="auto"/>
        <w:ind w:firstLine="0"/>
        <w:jc w:val="center"/>
        <w:rPr>
          <w:rFonts w:cs="Times New Roman"/>
          <w:b/>
          <w:bCs/>
          <w:color w:val="000000"/>
          <w:szCs w:val="24"/>
          <w:lang w:val="en-US"/>
        </w:rPr>
      </w:pPr>
    </w:p>
    <w:p w14:paraId="29E2BD43" w14:textId="77777777" w:rsidR="00A34C6B" w:rsidRDefault="00A34C6B" w:rsidP="00AB7B17">
      <w:pPr>
        <w:spacing w:line="240" w:lineRule="auto"/>
        <w:ind w:firstLine="0"/>
        <w:rPr>
          <w:i/>
          <w:iCs/>
          <w:lang w:val="en-GB"/>
        </w:rPr>
      </w:pPr>
    </w:p>
    <w:p w14:paraId="50C644FC" w14:textId="40FD933D" w:rsidR="00C374C8" w:rsidRPr="00C5133C" w:rsidRDefault="00C374C8" w:rsidP="00C15644">
      <w:pPr>
        <w:pStyle w:val="Heading1"/>
        <w:numPr>
          <w:ilvl w:val="0"/>
          <w:numId w:val="27"/>
        </w:numPr>
        <w:spacing w:before="240" w:after="200" w:line="276" w:lineRule="auto"/>
        <w:ind w:left="709" w:hanging="709"/>
        <w:jc w:val="both"/>
        <w:rPr>
          <w:rFonts w:ascii="Cambria" w:eastAsiaTheme="minorHAnsi" w:hAnsi="Cambria" w:cstheme="minorBidi"/>
          <w:sz w:val="22"/>
          <w:szCs w:val="28"/>
        </w:rPr>
      </w:pPr>
      <w:bookmarkStart w:id="3" w:name="_Toc84232389"/>
      <w:r w:rsidRPr="00C5133C">
        <w:rPr>
          <w:rFonts w:ascii="Cambria" w:hAnsi="Cambria"/>
          <w:sz w:val="24"/>
          <w:szCs w:val="28"/>
        </w:rPr>
        <w:t>PENDAHULUAN</w:t>
      </w:r>
      <w:bookmarkEnd w:id="3"/>
    </w:p>
    <w:p w14:paraId="619946A5" w14:textId="07A7338A" w:rsidR="005902C7" w:rsidRDefault="00C374C8" w:rsidP="00C15644">
      <w:pPr>
        <w:spacing w:line="276" w:lineRule="auto"/>
        <w:ind w:firstLine="709"/>
        <w:rPr>
          <w:rFonts w:ascii="Cambria" w:hAnsi="Cambria" w:cs="Times New Roman"/>
          <w:sz w:val="22"/>
          <w:lang w:val="en-US"/>
        </w:rPr>
      </w:pPr>
      <w:r w:rsidRPr="00C5133C">
        <w:rPr>
          <w:rFonts w:ascii="Cambria" w:hAnsi="Cambria" w:cs="Times New Roman"/>
          <w:sz w:val="22"/>
        </w:rPr>
        <w:t xml:space="preserve">Dalam struktur APBN Indonesia, sumber utama pendapatan negara berasal dari pajak. </w:t>
      </w:r>
      <w:r w:rsidRPr="00C5133C">
        <w:rPr>
          <w:rFonts w:ascii="Cambria" w:hAnsi="Cambria" w:cs="Times New Roman"/>
          <w:sz w:val="22"/>
          <w:lang w:val="en-US"/>
        </w:rPr>
        <w:t xml:space="preserve">Dalam kondisi normal, penerimaan pajak terus meningkat dari tahun ke tahun. </w:t>
      </w:r>
      <w:r w:rsidRPr="00C5133C">
        <w:rPr>
          <w:rFonts w:ascii="Cambria" w:hAnsi="Cambria" w:cs="Times New Roman"/>
          <w:sz w:val="22"/>
        </w:rPr>
        <w:t>Pada periode 2016-2019, penerimaan pajak</w:t>
      </w:r>
      <w:r w:rsidRPr="00C5133C">
        <w:rPr>
          <w:rFonts w:ascii="Cambria" w:hAnsi="Cambria" w:cs="Times New Roman"/>
          <w:sz w:val="22"/>
          <w:lang w:val="en-US"/>
        </w:rPr>
        <w:t xml:space="preserve"> di Indonesia</w:t>
      </w:r>
      <w:r w:rsidRPr="00C5133C">
        <w:rPr>
          <w:rFonts w:ascii="Cambria" w:hAnsi="Cambria" w:cs="Times New Roman"/>
          <w:sz w:val="22"/>
        </w:rPr>
        <w:t xml:space="preserve"> mengalami pertumbuhan </w:t>
      </w:r>
      <w:r w:rsidRPr="00C5133C">
        <w:rPr>
          <w:rFonts w:ascii="Cambria" w:hAnsi="Cambria" w:cs="Times New Roman"/>
          <w:sz w:val="22"/>
          <w:lang w:val="en-US"/>
        </w:rPr>
        <w:t xml:space="preserve">dengan </w:t>
      </w:r>
      <w:r w:rsidRPr="00C5133C">
        <w:rPr>
          <w:rFonts w:ascii="Cambria" w:hAnsi="Cambria" w:cs="Times New Roman"/>
          <w:sz w:val="22"/>
        </w:rPr>
        <w:t>rata-rata 6,4% yang  didorong oleh membaiknya kinerja ekonomi dan</w:t>
      </w:r>
      <w:r w:rsidRPr="00C5133C">
        <w:rPr>
          <w:rFonts w:ascii="Cambria" w:hAnsi="Cambria" w:cs="Times New Roman"/>
          <w:sz w:val="22"/>
          <w:lang w:val="en-US"/>
        </w:rPr>
        <w:t xml:space="preserve"> peningkatan</w:t>
      </w:r>
      <w:r w:rsidRPr="00C5133C">
        <w:rPr>
          <w:rFonts w:ascii="Cambria" w:hAnsi="Cambria" w:cs="Times New Roman"/>
          <w:sz w:val="22"/>
        </w:rPr>
        <w:t xml:space="preserve"> harga komoditas utama, sedangkan pada tahun 2020, penerimaan pajak mengalami kontraksi sebesar 10% </w:t>
      </w:r>
      <w:r w:rsidRPr="00C5133C">
        <w:rPr>
          <w:rFonts w:ascii="Cambria" w:hAnsi="Cambria" w:cs="Times New Roman"/>
          <w:sz w:val="22"/>
          <w:lang w:val="en-US"/>
        </w:rPr>
        <w:t>akibat</w:t>
      </w:r>
      <w:r w:rsidRPr="00C5133C">
        <w:rPr>
          <w:rFonts w:ascii="Cambria" w:hAnsi="Cambria" w:cs="Times New Roman"/>
          <w:sz w:val="22"/>
        </w:rPr>
        <w:t xml:space="preserve"> dari</w:t>
      </w:r>
      <w:r w:rsidRPr="00C5133C">
        <w:rPr>
          <w:rFonts w:ascii="Cambria" w:hAnsi="Cambria" w:cs="Times New Roman"/>
          <w:sz w:val="22"/>
          <w:lang w:val="en-US"/>
        </w:rPr>
        <w:t xml:space="preserve"> adanya</w:t>
      </w:r>
      <w:r w:rsidRPr="00C5133C">
        <w:rPr>
          <w:rFonts w:ascii="Cambria" w:hAnsi="Cambria" w:cs="Times New Roman"/>
          <w:sz w:val="22"/>
        </w:rPr>
        <w:t xml:space="preserve"> perlambatan ekonomi dan pemberian insentif </w:t>
      </w:r>
      <w:r w:rsidRPr="00C5133C">
        <w:rPr>
          <w:rFonts w:ascii="Cambria" w:hAnsi="Cambria" w:cs="Times New Roman"/>
          <w:sz w:val="22"/>
          <w:lang w:val="en-US"/>
        </w:rPr>
        <w:t xml:space="preserve">untuk menanggulangi </w:t>
      </w:r>
      <w:r w:rsidRPr="00C5133C">
        <w:rPr>
          <w:rFonts w:ascii="Cambria" w:hAnsi="Cambria" w:cs="Times New Roman"/>
          <w:sz w:val="22"/>
        </w:rPr>
        <w:t>dampak pandemi Covid-19</w:t>
      </w:r>
      <w:r w:rsidRPr="00C5133C">
        <w:rPr>
          <w:rFonts w:ascii="Cambria" w:hAnsi="Cambria" w:cs="Times New Roman"/>
          <w:sz w:val="22"/>
          <w:lang w:val="en-US"/>
        </w:rPr>
        <w:t xml:space="preserve"> </w:t>
      </w:r>
      <w:r w:rsidRPr="00C5133C">
        <w:rPr>
          <w:rFonts w:ascii="Cambria" w:hAnsi="Cambria" w:cs="Times New Roman"/>
          <w:sz w:val="22"/>
          <w:lang w:val="en-US"/>
        </w:rPr>
        <w:fldChar w:fldCharType="begin" w:fldLock="1"/>
      </w:r>
      <w:r w:rsidRPr="00C5133C">
        <w:rPr>
          <w:rFonts w:ascii="Cambria" w:hAnsi="Cambria" w:cs="Times New Roman"/>
          <w:sz w:val="22"/>
          <w:lang w:val="en-US"/>
        </w:rPr>
        <w:instrText>ADDIN CSL_CITATION {"citationItems":[{"id":"ITEM-1","itemData":{"abstract":"Tema besar APBN Tahun Anggaran 2020 adalah “Mendukung Indonesia Maju”. Kebijakan fiskal akan diarahkan untuk mendukung akselerasi daya saing melalui inovasi dan penguatan kualitas sumber daya manusia. Berbagai kebijakan di bidang pendidikan dan kesehatan akan dilakukan untuk meningkatkan kualitas sumber daya manusia agar siap berkompetisi dan beradaptasi dengan kemajuan industri dan teknologi.","author":[{"dropping-particle":"","family":"Kemenkeu","given":"","non-dropping-particle":"","parse-names":false,"suffix":""}],"container-title":"Kementerian Keuangan Direktorat Jenderal Anggaran","id":"ITEM-1","issued":{"date-parts":[["2021"]]},"page":"1-48","title":"Anggaran Pendapatan dan Belanja Negara 2021","type":"article-journal"},"uris":["http://www.mendeley.com/documents/?uuid=f1219e5e-91bb-4437-9633-d1ffe69941ed"]}],"mendeley":{"formattedCitation":"(Kemenkeu, 2021)","plainTextFormattedCitation":"(Kemenkeu, 2021)","previouslyFormattedCitation":"(Kemenkeu, 2021)"},"properties":{"noteIndex":0},"schema":"https://github.com/citation-style-language/schema/raw/master/csl-citation.json"}</w:instrText>
      </w:r>
      <w:r w:rsidRPr="00C5133C">
        <w:rPr>
          <w:rFonts w:ascii="Cambria" w:hAnsi="Cambria" w:cs="Times New Roman"/>
          <w:sz w:val="22"/>
          <w:lang w:val="en-US"/>
        </w:rPr>
        <w:fldChar w:fldCharType="separate"/>
      </w:r>
      <w:r w:rsidRPr="00C5133C">
        <w:rPr>
          <w:rFonts w:ascii="Cambria" w:hAnsi="Cambria" w:cs="Times New Roman"/>
          <w:noProof/>
          <w:sz w:val="22"/>
          <w:lang w:val="en-US"/>
        </w:rPr>
        <w:t>(Kemenkeu, 2021)</w:t>
      </w:r>
      <w:r w:rsidRPr="00C5133C">
        <w:rPr>
          <w:rFonts w:ascii="Cambria" w:hAnsi="Cambria" w:cs="Times New Roman"/>
          <w:sz w:val="22"/>
          <w:lang w:val="en-US"/>
        </w:rPr>
        <w:fldChar w:fldCharType="end"/>
      </w:r>
      <w:r w:rsidRPr="00C5133C">
        <w:rPr>
          <w:rFonts w:ascii="Cambria" w:hAnsi="Cambria" w:cs="Times New Roman"/>
          <w:sz w:val="22"/>
        </w:rPr>
        <w:t xml:space="preserve">. Pada APBN 2021, </w:t>
      </w:r>
      <w:r w:rsidRPr="00C5133C">
        <w:rPr>
          <w:rFonts w:ascii="Cambria" w:hAnsi="Cambria" w:cs="Times New Roman"/>
          <w:sz w:val="22"/>
          <w:lang w:val="en-US"/>
        </w:rPr>
        <w:t xml:space="preserve">target </w:t>
      </w:r>
      <w:r w:rsidRPr="00C5133C">
        <w:rPr>
          <w:rFonts w:ascii="Cambria" w:hAnsi="Cambria" w:cs="Times New Roman"/>
          <w:sz w:val="22"/>
        </w:rPr>
        <w:t xml:space="preserve">penerimaan perpajakan </w:t>
      </w:r>
      <w:r w:rsidRPr="00C5133C">
        <w:rPr>
          <w:rFonts w:ascii="Cambria" w:hAnsi="Cambria" w:cs="Times New Roman"/>
          <w:sz w:val="22"/>
          <w:lang w:val="en-US"/>
        </w:rPr>
        <w:t>di</w:t>
      </w:r>
      <w:r w:rsidRPr="00C5133C">
        <w:rPr>
          <w:rFonts w:ascii="Cambria" w:hAnsi="Cambria" w:cs="Times New Roman"/>
          <w:sz w:val="22"/>
        </w:rPr>
        <w:t>naik</w:t>
      </w:r>
      <w:r w:rsidRPr="00C5133C">
        <w:rPr>
          <w:rFonts w:ascii="Cambria" w:hAnsi="Cambria" w:cs="Times New Roman"/>
          <w:sz w:val="22"/>
          <w:lang w:val="en-US"/>
        </w:rPr>
        <w:t>kan</w:t>
      </w:r>
      <w:r w:rsidRPr="00C5133C">
        <w:rPr>
          <w:rFonts w:ascii="Cambria" w:hAnsi="Cambria" w:cs="Times New Roman"/>
          <w:sz w:val="22"/>
        </w:rPr>
        <w:t xml:space="preserve"> 2,6% menjadi sebesar Rp1.229,6 </w:t>
      </w:r>
      <w:r w:rsidR="00FA0990" w:rsidRPr="00C5133C">
        <w:rPr>
          <w:rFonts w:ascii="Cambria" w:hAnsi="Cambria" w:cs="Times New Roman"/>
          <w:sz w:val="22"/>
        </w:rPr>
        <w:t>triliun</w:t>
      </w:r>
      <w:r w:rsidRPr="00C5133C">
        <w:rPr>
          <w:rFonts w:ascii="Cambria" w:hAnsi="Cambria" w:cs="Times New Roman"/>
          <w:sz w:val="22"/>
        </w:rPr>
        <w:t xml:space="preserve"> atau sebesar 70</w:t>
      </w:r>
      <w:r w:rsidR="0048741C" w:rsidRPr="00C5133C">
        <w:rPr>
          <w:rFonts w:ascii="Cambria" w:hAnsi="Cambria" w:cs="Times New Roman"/>
          <w:sz w:val="22"/>
        </w:rPr>
        <w:t>,</w:t>
      </w:r>
      <w:r w:rsidRPr="00C5133C">
        <w:rPr>
          <w:rFonts w:ascii="Cambria" w:hAnsi="Cambria" w:cs="Times New Roman"/>
          <w:sz w:val="22"/>
        </w:rPr>
        <w:t xml:space="preserve">5% dari total pendapatan negara </w:t>
      </w:r>
      <w:r w:rsidRPr="00C5133C">
        <w:rPr>
          <w:rFonts w:ascii="Cambria" w:hAnsi="Cambria" w:cs="Times New Roman"/>
          <w:sz w:val="22"/>
        </w:rPr>
        <w:fldChar w:fldCharType="begin" w:fldLock="1"/>
      </w:r>
      <w:r w:rsidRPr="00C5133C">
        <w:rPr>
          <w:rFonts w:ascii="Cambria" w:hAnsi="Cambria" w:cs="Times New Roman"/>
          <w:sz w:val="22"/>
        </w:rPr>
        <w:instrText>ADDIN CSL_CITATION {"citationItems":[{"id":"ITEM-1","itemData":{"abstract":"Tema besar APBN Tahun Anggaran 2020 adalah “Mendukung Indonesia Maju”. Kebijakan fiskal akan diarahkan untuk mendukung akselerasi daya saing melalui inovasi dan penguatan kualitas sumber daya manusia. Berbagai kebijakan di bidang pendidikan dan kesehatan akan dilakukan untuk meningkatkan kualitas sumber daya manusia agar siap berkompetisi dan beradaptasi dengan kemajuan industri dan teknologi.","author":[{"dropping-particle":"","family":"Kemenkeu","given":"","non-dropping-particle":"","parse-names":false,"suffix":""}],"container-title":"Kementerian Keuangan Direktorat Jenderal Anggaran","id":"ITEM-1","issued":{"date-parts":[["2021"]]},"page":"1-48","title":"Anggaran Pendapatan dan Belanja Negara 2021","type":"article-journal"},"uris":["http://www.mendeley.com/documents/?uuid=f1219e5e-91bb-4437-9633-d1ffe69941ed"]}],"mendeley":{"formattedCitation":"(Kemenkeu, 2021)","plainTextFormattedCitation":"(Kemenkeu, 2021)","previouslyFormattedCitation":"(Kemenkeu, 2021)"},"properties":{"noteIndex":0},"schema":"https://github.com/citation-style-language/schema/raw/master/csl-citation.json"}</w:instrText>
      </w:r>
      <w:r w:rsidRPr="00C5133C">
        <w:rPr>
          <w:rFonts w:ascii="Cambria" w:hAnsi="Cambria" w:cs="Times New Roman"/>
          <w:sz w:val="22"/>
        </w:rPr>
        <w:fldChar w:fldCharType="separate"/>
      </w:r>
      <w:r w:rsidRPr="00C5133C">
        <w:rPr>
          <w:rFonts w:ascii="Cambria" w:hAnsi="Cambria" w:cs="Times New Roman"/>
          <w:noProof/>
          <w:sz w:val="22"/>
        </w:rPr>
        <w:t>(Kemenkeu, 2021)</w:t>
      </w:r>
      <w:r w:rsidRPr="00C5133C">
        <w:rPr>
          <w:rFonts w:ascii="Cambria" w:hAnsi="Cambria" w:cs="Times New Roman"/>
          <w:sz w:val="22"/>
        </w:rPr>
        <w:fldChar w:fldCharType="end"/>
      </w:r>
      <w:r w:rsidRPr="00C5133C">
        <w:rPr>
          <w:rFonts w:ascii="Cambria" w:hAnsi="Cambria" w:cs="Times New Roman"/>
          <w:sz w:val="22"/>
        </w:rPr>
        <w:t xml:space="preserve">. </w:t>
      </w:r>
      <w:r w:rsidRPr="00C5133C">
        <w:rPr>
          <w:rFonts w:ascii="Cambria" w:hAnsi="Cambria" w:cs="Times New Roman"/>
          <w:sz w:val="22"/>
          <w:lang w:val="en-US"/>
        </w:rPr>
        <w:t>Pada prakt</w:t>
      </w:r>
      <w:r w:rsidR="00FA0990" w:rsidRPr="00C5133C">
        <w:rPr>
          <w:rFonts w:ascii="Cambria" w:hAnsi="Cambria" w:cs="Times New Roman"/>
          <w:sz w:val="22"/>
          <w:lang w:val="en-US"/>
        </w:rPr>
        <w:t>i</w:t>
      </w:r>
      <w:r w:rsidRPr="00C5133C">
        <w:rPr>
          <w:rFonts w:ascii="Cambria" w:hAnsi="Cambria" w:cs="Times New Roman"/>
          <w:sz w:val="22"/>
          <w:lang w:val="en-US"/>
        </w:rPr>
        <w:t xml:space="preserve">knya, </w:t>
      </w:r>
      <w:r w:rsidR="00BF2898" w:rsidRPr="00C5133C">
        <w:rPr>
          <w:rFonts w:ascii="Cambria" w:hAnsi="Cambria" w:cs="Times New Roman"/>
          <w:i/>
          <w:sz w:val="22"/>
          <w:lang w:val="en-US"/>
        </w:rPr>
        <w:t>real</w:t>
      </w:r>
      <w:r w:rsidRPr="00C5133C">
        <w:rPr>
          <w:rFonts w:ascii="Cambria" w:hAnsi="Cambria" w:cs="Times New Roman"/>
          <w:sz w:val="22"/>
          <w:lang w:val="en-US"/>
        </w:rPr>
        <w:t>isasi penerimaan pajak yang dihimpun oleh Direktorat Jenderal Pajak (DJP) pada tahun 2016-2020 tidak mencapai target.</w:t>
      </w:r>
    </w:p>
    <w:p w14:paraId="0432E302" w14:textId="685BE4C6" w:rsidR="005902C7" w:rsidRDefault="005902C7" w:rsidP="00C5133C">
      <w:pPr>
        <w:spacing w:line="276" w:lineRule="auto"/>
        <w:ind w:firstLine="0"/>
        <w:rPr>
          <w:rFonts w:ascii="Cambria" w:hAnsi="Cambria" w:cs="Times New Roman"/>
          <w:sz w:val="22"/>
          <w:lang w:val="en-US"/>
        </w:rPr>
      </w:pPr>
    </w:p>
    <w:p w14:paraId="28645C65" w14:textId="2D3947B7" w:rsidR="00C15644" w:rsidRDefault="00C15644" w:rsidP="00C5133C">
      <w:pPr>
        <w:spacing w:line="276" w:lineRule="auto"/>
        <w:ind w:firstLine="0"/>
        <w:rPr>
          <w:rFonts w:ascii="Cambria" w:hAnsi="Cambria" w:cs="Times New Roman"/>
          <w:sz w:val="22"/>
          <w:lang w:val="en-US"/>
        </w:rPr>
      </w:pPr>
    </w:p>
    <w:p w14:paraId="0980F3BA" w14:textId="3312DB8C" w:rsidR="00C15644" w:rsidRDefault="00C15644" w:rsidP="00C5133C">
      <w:pPr>
        <w:spacing w:line="276" w:lineRule="auto"/>
        <w:ind w:firstLine="0"/>
        <w:rPr>
          <w:rFonts w:ascii="Cambria" w:hAnsi="Cambria" w:cs="Times New Roman"/>
          <w:sz w:val="22"/>
          <w:lang w:val="en-US"/>
        </w:rPr>
      </w:pPr>
    </w:p>
    <w:p w14:paraId="757D4D71" w14:textId="77777777" w:rsidR="00C15644" w:rsidRPr="00C5133C" w:rsidRDefault="00C15644" w:rsidP="00C5133C">
      <w:pPr>
        <w:spacing w:line="276" w:lineRule="auto"/>
        <w:ind w:firstLine="0"/>
        <w:rPr>
          <w:rFonts w:ascii="Cambria" w:hAnsi="Cambria" w:cs="Times New Roman"/>
          <w:sz w:val="22"/>
          <w:lang w:val="en-US"/>
        </w:rPr>
      </w:pPr>
    </w:p>
    <w:p w14:paraId="00CB56D5" w14:textId="77777777" w:rsidR="00005550" w:rsidRPr="00C5133C" w:rsidRDefault="00005550" w:rsidP="00C5133C">
      <w:pPr>
        <w:spacing w:line="276" w:lineRule="auto"/>
        <w:rPr>
          <w:rFonts w:ascii="Cambria" w:hAnsi="Cambria" w:cs="Times New Roman"/>
          <w:sz w:val="22"/>
          <w:lang w:val="en-US"/>
        </w:rPr>
      </w:pPr>
    </w:p>
    <w:p w14:paraId="193553E2" w14:textId="6310E21B" w:rsidR="00C374C8" w:rsidRPr="00C5133C" w:rsidRDefault="00C374C8" w:rsidP="00C5133C">
      <w:pPr>
        <w:spacing w:line="276" w:lineRule="auto"/>
        <w:ind w:firstLine="0"/>
        <w:jc w:val="center"/>
        <w:rPr>
          <w:rFonts w:ascii="Cambria" w:hAnsi="Cambria"/>
          <w:b/>
          <w:bCs/>
          <w:sz w:val="22"/>
          <w:lang w:val="en-US"/>
        </w:rPr>
      </w:pPr>
      <w:bookmarkStart w:id="4" w:name="_Toc84231592"/>
      <w:r w:rsidRPr="00C5133C">
        <w:rPr>
          <w:rFonts w:ascii="Cambria" w:hAnsi="Cambria"/>
          <w:b/>
          <w:bCs/>
          <w:sz w:val="22"/>
          <w:lang w:val="en-US"/>
        </w:rPr>
        <w:t>Tabel 1</w:t>
      </w:r>
      <w:r w:rsidR="00C15644">
        <w:rPr>
          <w:rFonts w:ascii="Cambria" w:hAnsi="Cambria"/>
          <w:b/>
          <w:bCs/>
          <w:sz w:val="22"/>
          <w:lang w:val="en-US"/>
        </w:rPr>
        <w:t>.</w:t>
      </w:r>
      <w:r w:rsidRPr="00C5133C">
        <w:rPr>
          <w:rFonts w:ascii="Cambria" w:hAnsi="Cambria"/>
          <w:b/>
          <w:bCs/>
          <w:sz w:val="22"/>
          <w:lang w:val="en-US"/>
        </w:rPr>
        <w:t xml:space="preserve"> </w:t>
      </w:r>
      <w:r w:rsidR="00BF2898" w:rsidRPr="00C5133C">
        <w:rPr>
          <w:rFonts w:ascii="Cambria" w:hAnsi="Cambria"/>
          <w:b/>
          <w:bCs/>
          <w:iCs/>
          <w:sz w:val="22"/>
          <w:lang w:val="en-US"/>
        </w:rPr>
        <w:t>Real</w:t>
      </w:r>
      <w:r w:rsidRPr="00C5133C">
        <w:rPr>
          <w:rFonts w:ascii="Cambria" w:hAnsi="Cambria"/>
          <w:b/>
          <w:bCs/>
          <w:sz w:val="22"/>
          <w:lang w:val="en-US"/>
        </w:rPr>
        <w:t>isasi Penerimaan Pajak</w:t>
      </w:r>
      <w:bookmarkEnd w:id="4"/>
    </w:p>
    <w:tbl>
      <w:tblPr>
        <w:tblStyle w:val="TableGrid"/>
        <w:tblW w:w="0" w:type="auto"/>
        <w:jc w:val="center"/>
        <w:tblLook w:val="04A0" w:firstRow="1" w:lastRow="0" w:firstColumn="1" w:lastColumn="0" w:noHBand="0" w:noVBand="1"/>
      </w:tblPr>
      <w:tblGrid>
        <w:gridCol w:w="1932"/>
        <w:gridCol w:w="2111"/>
        <w:gridCol w:w="2346"/>
        <w:gridCol w:w="1553"/>
      </w:tblGrid>
      <w:tr w:rsidR="004F7E06" w:rsidRPr="005902C7" w14:paraId="06FE4F90" w14:textId="77777777" w:rsidTr="00C15644">
        <w:trPr>
          <w:trHeight w:val="533"/>
          <w:jc w:val="center"/>
        </w:trPr>
        <w:tc>
          <w:tcPr>
            <w:tcW w:w="1932" w:type="dxa"/>
          </w:tcPr>
          <w:p w14:paraId="18210ECD" w14:textId="39E088C3" w:rsidR="00212A8D" w:rsidRPr="00C5133C" w:rsidRDefault="004F7E06" w:rsidP="00C5133C">
            <w:pPr>
              <w:spacing w:line="276" w:lineRule="auto"/>
              <w:ind w:firstLine="0"/>
              <w:jc w:val="center"/>
              <w:rPr>
                <w:rFonts w:ascii="Cambria" w:hAnsi="Cambria" w:cs="Times New Roman"/>
                <w:sz w:val="22"/>
              </w:rPr>
            </w:pPr>
            <w:r w:rsidRPr="00C5133C">
              <w:rPr>
                <w:rFonts w:ascii="Cambria" w:hAnsi="Cambria" w:cs="Times New Roman"/>
                <w:sz w:val="22"/>
              </w:rPr>
              <w:t>Tahun</w:t>
            </w:r>
          </w:p>
        </w:tc>
        <w:tc>
          <w:tcPr>
            <w:tcW w:w="2096" w:type="dxa"/>
          </w:tcPr>
          <w:p w14:paraId="47417CDA" w14:textId="70C0712E" w:rsidR="00212A8D" w:rsidRPr="00C5133C" w:rsidRDefault="004F7E06" w:rsidP="00C5133C">
            <w:pPr>
              <w:spacing w:line="276" w:lineRule="auto"/>
              <w:ind w:firstLine="0"/>
              <w:jc w:val="center"/>
              <w:rPr>
                <w:rFonts w:ascii="Cambria" w:hAnsi="Cambria" w:cs="Times New Roman"/>
                <w:sz w:val="22"/>
              </w:rPr>
            </w:pPr>
            <w:r w:rsidRPr="00C5133C">
              <w:rPr>
                <w:rFonts w:ascii="Cambria" w:hAnsi="Cambria" w:cs="Times New Roman"/>
                <w:sz w:val="22"/>
              </w:rPr>
              <w:t>Target Penerimaan(triliun)</w:t>
            </w:r>
          </w:p>
        </w:tc>
        <w:tc>
          <w:tcPr>
            <w:tcW w:w="2346" w:type="dxa"/>
          </w:tcPr>
          <w:p w14:paraId="365FA1BF" w14:textId="21C2E793" w:rsidR="00212A8D" w:rsidRPr="00C5133C" w:rsidRDefault="004F7E06" w:rsidP="00C5133C">
            <w:pPr>
              <w:spacing w:line="276" w:lineRule="auto"/>
              <w:ind w:firstLine="0"/>
              <w:jc w:val="center"/>
              <w:rPr>
                <w:rFonts w:ascii="Cambria" w:hAnsi="Cambria" w:cs="Times New Roman"/>
                <w:sz w:val="22"/>
              </w:rPr>
            </w:pPr>
            <w:r w:rsidRPr="00C5133C">
              <w:rPr>
                <w:rFonts w:ascii="Cambria" w:hAnsi="Cambria" w:cs="Times New Roman"/>
                <w:sz w:val="22"/>
              </w:rPr>
              <w:t>Realisasi Penerimaan (triliun)</w:t>
            </w:r>
          </w:p>
        </w:tc>
        <w:tc>
          <w:tcPr>
            <w:tcW w:w="1553" w:type="dxa"/>
          </w:tcPr>
          <w:p w14:paraId="0DCCDB1B" w14:textId="4D3AC19A" w:rsidR="00212A8D" w:rsidRPr="00C5133C" w:rsidRDefault="004F7E06" w:rsidP="00C5133C">
            <w:pPr>
              <w:spacing w:line="276" w:lineRule="auto"/>
              <w:ind w:firstLine="0"/>
              <w:jc w:val="center"/>
              <w:rPr>
                <w:rFonts w:ascii="Cambria" w:hAnsi="Cambria" w:cs="Times New Roman"/>
                <w:sz w:val="22"/>
              </w:rPr>
            </w:pPr>
            <w:r w:rsidRPr="00C5133C">
              <w:rPr>
                <w:rFonts w:ascii="Cambria" w:hAnsi="Cambria" w:cs="Times New Roman"/>
                <w:sz w:val="22"/>
              </w:rPr>
              <w:t>Capaian Realisasi</w:t>
            </w:r>
          </w:p>
        </w:tc>
      </w:tr>
      <w:tr w:rsidR="004F7E06" w:rsidRPr="005902C7" w14:paraId="25B07C00" w14:textId="77777777" w:rsidTr="00C15644">
        <w:trPr>
          <w:jc w:val="center"/>
        </w:trPr>
        <w:tc>
          <w:tcPr>
            <w:tcW w:w="1932" w:type="dxa"/>
          </w:tcPr>
          <w:p w14:paraId="653EF5FE" w14:textId="32A92C05" w:rsidR="004F7E06" w:rsidRPr="00C5133C" w:rsidRDefault="004F7E06" w:rsidP="00C5133C">
            <w:pPr>
              <w:spacing w:line="276" w:lineRule="auto"/>
              <w:ind w:firstLine="0"/>
              <w:jc w:val="center"/>
              <w:rPr>
                <w:rFonts w:ascii="Cambria" w:hAnsi="Cambria" w:cs="Times New Roman"/>
                <w:sz w:val="22"/>
              </w:rPr>
            </w:pPr>
            <w:r w:rsidRPr="00C5133C">
              <w:rPr>
                <w:rFonts w:ascii="Cambria" w:hAnsi="Cambria" w:cs="Times New Roman"/>
                <w:sz w:val="22"/>
              </w:rPr>
              <w:t>2020</w:t>
            </w:r>
          </w:p>
        </w:tc>
        <w:tc>
          <w:tcPr>
            <w:tcW w:w="2096" w:type="dxa"/>
          </w:tcPr>
          <w:p w14:paraId="3B6FF155" w14:textId="3540DB99" w:rsidR="00212A8D" w:rsidRPr="00C5133C" w:rsidRDefault="004F7E06" w:rsidP="00C5133C">
            <w:pPr>
              <w:spacing w:line="276" w:lineRule="auto"/>
              <w:ind w:firstLine="0"/>
              <w:jc w:val="center"/>
              <w:rPr>
                <w:rFonts w:ascii="Cambria" w:hAnsi="Cambria" w:cs="Times New Roman"/>
                <w:sz w:val="22"/>
              </w:rPr>
            </w:pPr>
            <w:r w:rsidRPr="00C5133C">
              <w:rPr>
                <w:rFonts w:ascii="Cambria" w:hAnsi="Cambria" w:cs="Times New Roman"/>
                <w:sz w:val="22"/>
              </w:rPr>
              <w:t>Rp1.198,82</w:t>
            </w:r>
          </w:p>
        </w:tc>
        <w:tc>
          <w:tcPr>
            <w:tcW w:w="2346" w:type="dxa"/>
          </w:tcPr>
          <w:p w14:paraId="508A1E79" w14:textId="7E1118B7" w:rsidR="00212A8D" w:rsidRPr="00C5133C" w:rsidRDefault="004F7E06" w:rsidP="00C5133C">
            <w:pPr>
              <w:spacing w:line="276" w:lineRule="auto"/>
              <w:ind w:firstLine="0"/>
              <w:jc w:val="center"/>
              <w:rPr>
                <w:rFonts w:ascii="Cambria" w:hAnsi="Cambria" w:cs="Times New Roman"/>
                <w:sz w:val="22"/>
              </w:rPr>
            </w:pPr>
            <w:r w:rsidRPr="00C5133C">
              <w:rPr>
                <w:rFonts w:ascii="Cambria" w:hAnsi="Cambria" w:cs="Times New Roman"/>
                <w:sz w:val="22"/>
              </w:rPr>
              <w:t>Rp1.069,98</w:t>
            </w:r>
          </w:p>
        </w:tc>
        <w:tc>
          <w:tcPr>
            <w:tcW w:w="1553" w:type="dxa"/>
          </w:tcPr>
          <w:p w14:paraId="5DBFE491" w14:textId="5065B275" w:rsidR="00212A8D" w:rsidRPr="00C5133C" w:rsidRDefault="004F7E06" w:rsidP="00C5133C">
            <w:pPr>
              <w:spacing w:line="276" w:lineRule="auto"/>
              <w:ind w:firstLine="0"/>
              <w:jc w:val="center"/>
              <w:rPr>
                <w:rFonts w:ascii="Cambria" w:hAnsi="Cambria" w:cs="Times New Roman"/>
                <w:sz w:val="22"/>
              </w:rPr>
            </w:pPr>
            <w:r w:rsidRPr="00C5133C">
              <w:rPr>
                <w:rFonts w:ascii="Cambria" w:hAnsi="Cambria" w:cs="Times New Roman"/>
                <w:sz w:val="22"/>
              </w:rPr>
              <w:t>89,25%</w:t>
            </w:r>
          </w:p>
        </w:tc>
      </w:tr>
      <w:tr w:rsidR="004F7E06" w:rsidRPr="005902C7" w14:paraId="524804C6" w14:textId="77777777" w:rsidTr="00C15644">
        <w:trPr>
          <w:jc w:val="center"/>
        </w:trPr>
        <w:tc>
          <w:tcPr>
            <w:tcW w:w="1932" w:type="dxa"/>
          </w:tcPr>
          <w:p w14:paraId="7E91BFFF" w14:textId="1F0A88EC" w:rsidR="00212A8D" w:rsidRPr="00C5133C" w:rsidRDefault="004F7E06" w:rsidP="00C5133C">
            <w:pPr>
              <w:spacing w:line="276" w:lineRule="auto"/>
              <w:ind w:firstLine="0"/>
              <w:jc w:val="center"/>
              <w:rPr>
                <w:rFonts w:ascii="Cambria" w:hAnsi="Cambria" w:cs="Times New Roman"/>
                <w:sz w:val="22"/>
              </w:rPr>
            </w:pPr>
            <w:r w:rsidRPr="00C5133C">
              <w:rPr>
                <w:rFonts w:ascii="Cambria" w:hAnsi="Cambria" w:cs="Times New Roman"/>
                <w:sz w:val="22"/>
              </w:rPr>
              <w:t>2019</w:t>
            </w:r>
          </w:p>
        </w:tc>
        <w:tc>
          <w:tcPr>
            <w:tcW w:w="2096" w:type="dxa"/>
          </w:tcPr>
          <w:p w14:paraId="387F9C16" w14:textId="14354EA2" w:rsidR="00212A8D" w:rsidRPr="00C5133C" w:rsidRDefault="004F7E06" w:rsidP="00C5133C">
            <w:pPr>
              <w:spacing w:line="276" w:lineRule="auto"/>
              <w:ind w:firstLine="0"/>
              <w:jc w:val="center"/>
              <w:rPr>
                <w:rFonts w:ascii="Cambria" w:hAnsi="Cambria" w:cs="Times New Roman"/>
                <w:sz w:val="22"/>
              </w:rPr>
            </w:pPr>
            <w:r w:rsidRPr="00C5133C">
              <w:rPr>
                <w:rFonts w:ascii="Cambria" w:hAnsi="Cambria" w:cs="Times New Roman"/>
                <w:sz w:val="22"/>
              </w:rPr>
              <w:t>Rp1.577,56</w:t>
            </w:r>
          </w:p>
        </w:tc>
        <w:tc>
          <w:tcPr>
            <w:tcW w:w="2346" w:type="dxa"/>
          </w:tcPr>
          <w:p w14:paraId="1293DAFA" w14:textId="70EE28BA" w:rsidR="00212A8D" w:rsidRPr="00C5133C" w:rsidRDefault="004F7E06" w:rsidP="00C5133C">
            <w:pPr>
              <w:spacing w:line="276" w:lineRule="auto"/>
              <w:ind w:firstLine="0"/>
              <w:jc w:val="center"/>
              <w:rPr>
                <w:rFonts w:ascii="Cambria" w:hAnsi="Cambria" w:cs="Times New Roman"/>
                <w:sz w:val="22"/>
              </w:rPr>
            </w:pPr>
            <w:r w:rsidRPr="00C5133C">
              <w:rPr>
                <w:rFonts w:ascii="Cambria" w:hAnsi="Cambria" w:cs="Times New Roman"/>
                <w:sz w:val="22"/>
              </w:rPr>
              <w:t>Rp1.332,06</w:t>
            </w:r>
          </w:p>
        </w:tc>
        <w:tc>
          <w:tcPr>
            <w:tcW w:w="1553" w:type="dxa"/>
          </w:tcPr>
          <w:p w14:paraId="4D445A46" w14:textId="687C1D6D" w:rsidR="00212A8D" w:rsidRPr="00C5133C" w:rsidRDefault="004F7E06" w:rsidP="00C5133C">
            <w:pPr>
              <w:spacing w:line="276" w:lineRule="auto"/>
              <w:ind w:firstLine="0"/>
              <w:jc w:val="center"/>
              <w:rPr>
                <w:rFonts w:ascii="Cambria" w:hAnsi="Cambria" w:cs="Times New Roman"/>
                <w:sz w:val="22"/>
              </w:rPr>
            </w:pPr>
            <w:r w:rsidRPr="00C5133C">
              <w:rPr>
                <w:rFonts w:ascii="Cambria" w:hAnsi="Cambria" w:cs="Times New Roman"/>
                <w:sz w:val="22"/>
              </w:rPr>
              <w:t>84,4%</w:t>
            </w:r>
          </w:p>
        </w:tc>
      </w:tr>
      <w:tr w:rsidR="004F7E06" w:rsidRPr="005902C7" w14:paraId="4AC9877F" w14:textId="77777777" w:rsidTr="00C15644">
        <w:trPr>
          <w:jc w:val="center"/>
        </w:trPr>
        <w:tc>
          <w:tcPr>
            <w:tcW w:w="1932" w:type="dxa"/>
          </w:tcPr>
          <w:p w14:paraId="2FEBF580" w14:textId="723375B0" w:rsidR="00212A8D" w:rsidRPr="00C5133C" w:rsidRDefault="004F7E06" w:rsidP="00C5133C">
            <w:pPr>
              <w:spacing w:line="276" w:lineRule="auto"/>
              <w:ind w:firstLine="0"/>
              <w:jc w:val="center"/>
              <w:rPr>
                <w:rFonts w:ascii="Cambria" w:hAnsi="Cambria" w:cs="Times New Roman"/>
                <w:sz w:val="22"/>
              </w:rPr>
            </w:pPr>
            <w:r w:rsidRPr="00C5133C">
              <w:rPr>
                <w:rFonts w:ascii="Cambria" w:hAnsi="Cambria" w:cs="Times New Roman"/>
                <w:sz w:val="22"/>
              </w:rPr>
              <w:t>2018</w:t>
            </w:r>
          </w:p>
        </w:tc>
        <w:tc>
          <w:tcPr>
            <w:tcW w:w="2096" w:type="dxa"/>
          </w:tcPr>
          <w:p w14:paraId="0A35F39D" w14:textId="5C164C5B" w:rsidR="00212A8D" w:rsidRPr="00C5133C" w:rsidRDefault="004F7E06" w:rsidP="00C5133C">
            <w:pPr>
              <w:spacing w:line="276" w:lineRule="auto"/>
              <w:ind w:firstLine="0"/>
              <w:jc w:val="center"/>
              <w:rPr>
                <w:rFonts w:ascii="Cambria" w:hAnsi="Cambria" w:cs="Times New Roman"/>
                <w:sz w:val="22"/>
              </w:rPr>
            </w:pPr>
            <w:r w:rsidRPr="00C5133C">
              <w:rPr>
                <w:rFonts w:ascii="Cambria" w:hAnsi="Cambria" w:cs="Times New Roman"/>
                <w:sz w:val="22"/>
              </w:rPr>
              <w:t>Rp1.424,00</w:t>
            </w:r>
          </w:p>
        </w:tc>
        <w:tc>
          <w:tcPr>
            <w:tcW w:w="2346" w:type="dxa"/>
          </w:tcPr>
          <w:p w14:paraId="52CF85C8" w14:textId="7B9D5856" w:rsidR="00212A8D" w:rsidRPr="00C5133C" w:rsidRDefault="004F7E06" w:rsidP="00C5133C">
            <w:pPr>
              <w:spacing w:line="276" w:lineRule="auto"/>
              <w:ind w:firstLine="0"/>
              <w:jc w:val="center"/>
              <w:rPr>
                <w:rFonts w:ascii="Cambria" w:hAnsi="Cambria" w:cs="Times New Roman"/>
                <w:sz w:val="22"/>
              </w:rPr>
            </w:pPr>
            <w:r w:rsidRPr="00C5133C">
              <w:rPr>
                <w:rFonts w:ascii="Cambria" w:hAnsi="Cambria" w:cs="Times New Roman"/>
                <w:sz w:val="22"/>
              </w:rPr>
              <w:t>Rp1.315,51</w:t>
            </w:r>
          </w:p>
        </w:tc>
        <w:tc>
          <w:tcPr>
            <w:tcW w:w="1553" w:type="dxa"/>
          </w:tcPr>
          <w:p w14:paraId="7E4C28E3" w14:textId="7C81C027" w:rsidR="00212A8D" w:rsidRPr="00C5133C" w:rsidRDefault="004F7E06" w:rsidP="00C5133C">
            <w:pPr>
              <w:spacing w:line="276" w:lineRule="auto"/>
              <w:ind w:firstLine="0"/>
              <w:jc w:val="center"/>
              <w:rPr>
                <w:rFonts w:ascii="Cambria" w:hAnsi="Cambria" w:cs="Times New Roman"/>
                <w:sz w:val="22"/>
              </w:rPr>
            </w:pPr>
            <w:r w:rsidRPr="00C5133C">
              <w:rPr>
                <w:rFonts w:ascii="Cambria" w:hAnsi="Cambria" w:cs="Times New Roman"/>
                <w:sz w:val="22"/>
              </w:rPr>
              <w:t>92,38%</w:t>
            </w:r>
          </w:p>
        </w:tc>
      </w:tr>
      <w:tr w:rsidR="004F7E06" w:rsidRPr="005902C7" w14:paraId="2E2F4961" w14:textId="77777777" w:rsidTr="00C15644">
        <w:trPr>
          <w:jc w:val="center"/>
        </w:trPr>
        <w:tc>
          <w:tcPr>
            <w:tcW w:w="1932" w:type="dxa"/>
          </w:tcPr>
          <w:p w14:paraId="305FF6DE" w14:textId="1C62EFFF" w:rsidR="00212A8D" w:rsidRPr="00C5133C" w:rsidRDefault="004F7E06" w:rsidP="00C5133C">
            <w:pPr>
              <w:spacing w:line="276" w:lineRule="auto"/>
              <w:ind w:firstLine="0"/>
              <w:jc w:val="center"/>
              <w:rPr>
                <w:rFonts w:ascii="Cambria" w:hAnsi="Cambria" w:cs="Times New Roman"/>
                <w:sz w:val="22"/>
              </w:rPr>
            </w:pPr>
            <w:r w:rsidRPr="00C5133C">
              <w:rPr>
                <w:rFonts w:ascii="Cambria" w:hAnsi="Cambria" w:cs="Times New Roman"/>
                <w:sz w:val="22"/>
              </w:rPr>
              <w:t>2017</w:t>
            </w:r>
          </w:p>
        </w:tc>
        <w:tc>
          <w:tcPr>
            <w:tcW w:w="2096" w:type="dxa"/>
          </w:tcPr>
          <w:p w14:paraId="6C8E736B" w14:textId="5ABFB69F" w:rsidR="00212A8D" w:rsidRPr="00C5133C" w:rsidRDefault="004F7E06" w:rsidP="00C5133C">
            <w:pPr>
              <w:spacing w:line="276" w:lineRule="auto"/>
              <w:ind w:firstLine="0"/>
              <w:jc w:val="center"/>
              <w:rPr>
                <w:rFonts w:ascii="Cambria" w:hAnsi="Cambria" w:cs="Times New Roman"/>
                <w:sz w:val="22"/>
              </w:rPr>
            </w:pPr>
            <w:r w:rsidRPr="00C5133C">
              <w:rPr>
                <w:rFonts w:ascii="Cambria" w:hAnsi="Cambria" w:cs="Times New Roman"/>
                <w:sz w:val="22"/>
              </w:rPr>
              <w:t>Rp1.283,57</w:t>
            </w:r>
          </w:p>
        </w:tc>
        <w:tc>
          <w:tcPr>
            <w:tcW w:w="2346" w:type="dxa"/>
          </w:tcPr>
          <w:p w14:paraId="2FEEC8BB" w14:textId="5E52C351" w:rsidR="00212A8D" w:rsidRPr="00C5133C" w:rsidRDefault="004F7E06" w:rsidP="00C5133C">
            <w:pPr>
              <w:spacing w:line="276" w:lineRule="auto"/>
              <w:ind w:firstLine="0"/>
              <w:jc w:val="center"/>
              <w:rPr>
                <w:rFonts w:ascii="Cambria" w:hAnsi="Cambria" w:cs="Times New Roman"/>
                <w:sz w:val="22"/>
              </w:rPr>
            </w:pPr>
            <w:r w:rsidRPr="00C5133C">
              <w:rPr>
                <w:rFonts w:ascii="Cambria" w:hAnsi="Cambria" w:cs="Times New Roman"/>
                <w:sz w:val="22"/>
              </w:rPr>
              <w:t>Rp1.151,03</w:t>
            </w:r>
          </w:p>
        </w:tc>
        <w:tc>
          <w:tcPr>
            <w:tcW w:w="1553" w:type="dxa"/>
          </w:tcPr>
          <w:p w14:paraId="76978752" w14:textId="18B5850B" w:rsidR="00212A8D" w:rsidRPr="00C5133C" w:rsidRDefault="004F7E06" w:rsidP="00C5133C">
            <w:pPr>
              <w:spacing w:line="276" w:lineRule="auto"/>
              <w:ind w:firstLine="0"/>
              <w:jc w:val="center"/>
              <w:rPr>
                <w:rFonts w:ascii="Cambria" w:hAnsi="Cambria" w:cs="Times New Roman"/>
                <w:sz w:val="22"/>
              </w:rPr>
            </w:pPr>
            <w:r w:rsidRPr="00C5133C">
              <w:rPr>
                <w:rFonts w:ascii="Cambria" w:hAnsi="Cambria" w:cs="Times New Roman"/>
                <w:sz w:val="22"/>
              </w:rPr>
              <w:t>89,67%</w:t>
            </w:r>
          </w:p>
        </w:tc>
      </w:tr>
      <w:tr w:rsidR="004F7E06" w:rsidRPr="005902C7" w14:paraId="4E51A9A7" w14:textId="77777777" w:rsidTr="00C15644">
        <w:trPr>
          <w:jc w:val="center"/>
        </w:trPr>
        <w:tc>
          <w:tcPr>
            <w:tcW w:w="1932" w:type="dxa"/>
          </w:tcPr>
          <w:p w14:paraId="671ED9FD" w14:textId="1A9DDD56" w:rsidR="00212A8D" w:rsidRPr="00C5133C" w:rsidRDefault="004F7E06" w:rsidP="00C5133C">
            <w:pPr>
              <w:spacing w:line="276" w:lineRule="auto"/>
              <w:ind w:firstLine="0"/>
              <w:jc w:val="center"/>
              <w:rPr>
                <w:rFonts w:ascii="Cambria" w:hAnsi="Cambria" w:cs="Times New Roman"/>
                <w:sz w:val="22"/>
              </w:rPr>
            </w:pPr>
            <w:r w:rsidRPr="00C5133C">
              <w:rPr>
                <w:rFonts w:ascii="Cambria" w:hAnsi="Cambria" w:cs="Times New Roman"/>
                <w:sz w:val="22"/>
              </w:rPr>
              <w:t>2016</w:t>
            </w:r>
          </w:p>
        </w:tc>
        <w:tc>
          <w:tcPr>
            <w:tcW w:w="2096" w:type="dxa"/>
          </w:tcPr>
          <w:p w14:paraId="259DB141" w14:textId="07CDD27F" w:rsidR="00212A8D" w:rsidRPr="00C5133C" w:rsidRDefault="004F7E06" w:rsidP="00C5133C">
            <w:pPr>
              <w:spacing w:line="276" w:lineRule="auto"/>
              <w:ind w:firstLine="0"/>
              <w:jc w:val="center"/>
              <w:rPr>
                <w:rFonts w:ascii="Cambria" w:hAnsi="Cambria" w:cs="Times New Roman"/>
                <w:sz w:val="22"/>
              </w:rPr>
            </w:pPr>
            <w:r w:rsidRPr="00C5133C">
              <w:rPr>
                <w:rFonts w:ascii="Cambria" w:hAnsi="Cambria" w:cs="Times New Roman"/>
                <w:sz w:val="22"/>
              </w:rPr>
              <w:t>Rp1.355,20</w:t>
            </w:r>
          </w:p>
        </w:tc>
        <w:tc>
          <w:tcPr>
            <w:tcW w:w="2346" w:type="dxa"/>
          </w:tcPr>
          <w:p w14:paraId="2DA5C522" w14:textId="281BDFCE" w:rsidR="00212A8D" w:rsidRPr="00C5133C" w:rsidRDefault="004F7E06" w:rsidP="00C5133C">
            <w:pPr>
              <w:spacing w:line="276" w:lineRule="auto"/>
              <w:ind w:firstLine="0"/>
              <w:jc w:val="center"/>
              <w:rPr>
                <w:rFonts w:ascii="Cambria" w:hAnsi="Cambria" w:cs="Times New Roman"/>
                <w:sz w:val="22"/>
              </w:rPr>
            </w:pPr>
            <w:r w:rsidRPr="00C5133C">
              <w:rPr>
                <w:rFonts w:ascii="Cambria" w:hAnsi="Cambria" w:cs="Times New Roman"/>
                <w:sz w:val="22"/>
              </w:rPr>
              <w:t>Rp1.105,73</w:t>
            </w:r>
          </w:p>
        </w:tc>
        <w:tc>
          <w:tcPr>
            <w:tcW w:w="1553" w:type="dxa"/>
          </w:tcPr>
          <w:p w14:paraId="4B887DDF" w14:textId="06BDA7A1" w:rsidR="00212A8D" w:rsidRPr="00C5133C" w:rsidRDefault="004F7E06" w:rsidP="00C5133C">
            <w:pPr>
              <w:spacing w:line="276" w:lineRule="auto"/>
              <w:ind w:firstLine="0"/>
              <w:jc w:val="center"/>
              <w:rPr>
                <w:rFonts w:ascii="Cambria" w:hAnsi="Cambria" w:cs="Times New Roman"/>
                <w:sz w:val="22"/>
              </w:rPr>
            </w:pPr>
            <w:r w:rsidRPr="00C5133C">
              <w:rPr>
                <w:rFonts w:ascii="Cambria" w:hAnsi="Cambria" w:cs="Times New Roman"/>
                <w:sz w:val="22"/>
              </w:rPr>
              <w:t>81,59%</w:t>
            </w:r>
          </w:p>
        </w:tc>
      </w:tr>
    </w:tbl>
    <w:p w14:paraId="7464FE1D" w14:textId="18449771" w:rsidR="00B0703C" w:rsidRDefault="00C374C8" w:rsidP="00C15644">
      <w:pPr>
        <w:spacing w:line="276" w:lineRule="auto"/>
        <w:ind w:left="567" w:firstLine="0"/>
        <w:jc w:val="left"/>
        <w:rPr>
          <w:rFonts w:ascii="Cambria" w:hAnsi="Cambria" w:cs="Times New Roman"/>
          <w:sz w:val="22"/>
          <w:lang w:val="en-US"/>
        </w:rPr>
      </w:pPr>
      <w:r w:rsidRPr="00C5133C">
        <w:rPr>
          <w:rFonts w:ascii="Cambria" w:hAnsi="Cambria" w:cs="Times New Roman"/>
          <w:sz w:val="22"/>
          <w:lang w:val="en-US"/>
        </w:rPr>
        <w:t xml:space="preserve">Sumber: </w:t>
      </w:r>
      <w:r w:rsidR="00C15644">
        <w:rPr>
          <w:rFonts w:ascii="Cambria" w:hAnsi="Cambria" w:cs="Times New Roman"/>
          <w:sz w:val="22"/>
          <w:lang w:val="en-US"/>
        </w:rPr>
        <w:t xml:space="preserve">Data </w:t>
      </w:r>
      <w:r w:rsidRPr="00C5133C">
        <w:rPr>
          <w:rFonts w:ascii="Cambria" w:hAnsi="Cambria" w:cs="Times New Roman"/>
          <w:sz w:val="22"/>
          <w:lang w:val="en-US"/>
        </w:rPr>
        <w:t xml:space="preserve">diolah dari Laporan Kinerja </w:t>
      </w:r>
      <w:proofErr w:type="gramStart"/>
      <w:r w:rsidRPr="00C5133C">
        <w:rPr>
          <w:rFonts w:ascii="Cambria" w:hAnsi="Cambria" w:cs="Times New Roman"/>
          <w:sz w:val="22"/>
          <w:lang w:val="en-US"/>
        </w:rPr>
        <w:t xml:space="preserve">DJP </w:t>
      </w:r>
      <w:r w:rsidR="00C15644">
        <w:rPr>
          <w:rFonts w:ascii="Cambria" w:hAnsi="Cambria" w:cs="Times New Roman"/>
          <w:sz w:val="22"/>
          <w:lang w:val="en-US"/>
        </w:rPr>
        <w:t xml:space="preserve"> (</w:t>
      </w:r>
      <w:proofErr w:type="gramEnd"/>
      <w:r w:rsidR="00C15644">
        <w:rPr>
          <w:rFonts w:ascii="Cambria" w:hAnsi="Cambria" w:cs="Times New Roman"/>
          <w:sz w:val="22"/>
          <w:lang w:val="en-US"/>
        </w:rPr>
        <w:t>2021)</w:t>
      </w:r>
    </w:p>
    <w:p w14:paraId="1A728852" w14:textId="77777777" w:rsidR="00C15644" w:rsidRPr="00C5133C" w:rsidRDefault="00C15644" w:rsidP="00C15644">
      <w:pPr>
        <w:spacing w:line="276" w:lineRule="auto"/>
        <w:ind w:left="567" w:firstLine="0"/>
        <w:jc w:val="left"/>
        <w:rPr>
          <w:rFonts w:ascii="Cambria" w:hAnsi="Cambria" w:cs="Times New Roman"/>
          <w:sz w:val="22"/>
          <w:lang w:val="en-US"/>
        </w:rPr>
      </w:pPr>
    </w:p>
    <w:p w14:paraId="04753E3A" w14:textId="160B3FD4" w:rsidR="00C374C8" w:rsidRPr="00C5133C" w:rsidRDefault="00C374C8" w:rsidP="00C5133C">
      <w:pPr>
        <w:spacing w:line="276" w:lineRule="auto"/>
        <w:rPr>
          <w:rFonts w:ascii="Cambria" w:hAnsi="Cambria"/>
          <w:sz w:val="22"/>
          <w:lang w:val="en-US"/>
        </w:rPr>
      </w:pPr>
      <w:r w:rsidRPr="00C5133C">
        <w:rPr>
          <w:rFonts w:ascii="Cambria" w:hAnsi="Cambria"/>
          <w:sz w:val="22"/>
          <w:lang w:val="en-US"/>
        </w:rPr>
        <w:t xml:space="preserve">Tindakan penghindaran pajak oleh wajib pajak menjadi salah satu penyebab tidak tercapainya target penerimaan pajak. </w:t>
      </w:r>
      <w:r w:rsidRPr="00C5133C">
        <w:rPr>
          <w:rFonts w:ascii="Cambria" w:hAnsi="Cambria"/>
          <w:i/>
          <w:sz w:val="22"/>
          <w:lang w:val="en-US"/>
        </w:rPr>
        <w:t>Tax Justice Network</w:t>
      </w:r>
      <w:r w:rsidRPr="00C5133C">
        <w:rPr>
          <w:rFonts w:ascii="Cambria" w:hAnsi="Cambria"/>
          <w:sz w:val="22"/>
          <w:lang w:val="en-US"/>
        </w:rPr>
        <w:t xml:space="preserve"> melaporkan adanya temuan kerugian yang disebabkan oleh upaya penghindaran pajak senilai US$ 4,86 miliar di tahun 2020, angka ini setara dengan R</w:t>
      </w:r>
      <w:r w:rsidR="0048741C" w:rsidRPr="00C5133C">
        <w:rPr>
          <w:rFonts w:ascii="Cambria" w:hAnsi="Cambria"/>
          <w:sz w:val="22"/>
          <w:lang w:val="en-US"/>
        </w:rPr>
        <w:t>p</w:t>
      </w:r>
      <w:r w:rsidRPr="00C5133C">
        <w:rPr>
          <w:rFonts w:ascii="Cambria" w:hAnsi="Cambria"/>
          <w:sz w:val="22"/>
          <w:lang w:val="en-US"/>
        </w:rPr>
        <w:t xml:space="preserve">68,7 triliun </w:t>
      </w:r>
      <w:r w:rsidRPr="00C5133C">
        <w:rPr>
          <w:rFonts w:ascii="Cambria" w:hAnsi="Cambria"/>
          <w:sz w:val="22"/>
          <w:lang w:val="en-US"/>
        </w:rPr>
        <w:fldChar w:fldCharType="begin" w:fldLock="1"/>
      </w:r>
      <w:r w:rsidRPr="00C5133C">
        <w:rPr>
          <w:rFonts w:ascii="Cambria" w:hAnsi="Cambria"/>
          <w:sz w:val="22"/>
          <w:lang w:val="en-US"/>
        </w:rPr>
        <w:instrText>ADDIN CSL_CITATION {"citationItems":[{"id":"ITEM-1","itemData":{"abstract":"Countries are losing a total of over $427 billion in tax each year to international corporate tax abuse and private tax evasion, costing countries altogether the equivalent of nearly 34 million nurses annual salaries every year – or one nurse’s annual salary every second.","author":[{"dropping-particle":"","family":"Cobham","given":"Alex","non-dropping-particle":"","parse-names":false,"suffix":""},{"dropping-particle":"","family":"Bernardo","given":"Javier Garcia","non-dropping-particle":"","parse-names":false,"suffix":""},{"dropping-particle":"","family":"Palansky","given":"Miroslav","non-dropping-particle":"","parse-names":false,"suffix":""},{"dropping-particle":"","family":"Mansour","given":"Mark Bou","non-dropping-particle":"","parse-names":false,"suffix":""}],"container-title":"Tax Justice Network","id":"ITEM-1","issue":"November","issued":{"date-parts":[["2020"]]},"page":"1-83","title":"The State of Tax Justice 2020 : Tax Justice in the time of COVID-19","type":"article-journal"},"uris":["http://www.mendeley.com/documents/?uuid=bf56ae8c-127e-4cc5-812b-14fe948e584d"]}],"mendeley":{"formattedCitation":"(Cobham et al., 2020)","manualFormatting":"(Cobham et al., 2020)","plainTextFormattedCitation":"(Cobham et al., 2020)","previouslyFormattedCitation":"(Cobham et al., 2020)"},"properties":{"noteIndex":0},"schema":"https://github.com/citation-style-language/schema/raw/master/csl-citation.json"}</w:instrText>
      </w:r>
      <w:r w:rsidRPr="00C5133C">
        <w:rPr>
          <w:rFonts w:ascii="Cambria" w:hAnsi="Cambria"/>
          <w:sz w:val="22"/>
          <w:lang w:val="en-US"/>
        </w:rPr>
        <w:fldChar w:fldCharType="separate"/>
      </w:r>
      <w:r w:rsidRPr="00C5133C">
        <w:rPr>
          <w:rFonts w:ascii="Cambria" w:hAnsi="Cambria"/>
          <w:noProof/>
          <w:sz w:val="22"/>
          <w:lang w:val="en-US"/>
        </w:rPr>
        <w:t xml:space="preserve">(Cobham </w:t>
      </w:r>
      <w:r w:rsidR="00BF2898" w:rsidRPr="00C5133C">
        <w:rPr>
          <w:rFonts w:ascii="Cambria" w:hAnsi="Cambria"/>
          <w:i/>
          <w:noProof/>
          <w:sz w:val="22"/>
          <w:lang w:val="en-US"/>
        </w:rPr>
        <w:t>et al.</w:t>
      </w:r>
      <w:r w:rsidRPr="00C5133C">
        <w:rPr>
          <w:rFonts w:ascii="Cambria" w:hAnsi="Cambria"/>
          <w:noProof/>
          <w:sz w:val="22"/>
          <w:lang w:val="en-US"/>
        </w:rPr>
        <w:t>, 2020)</w:t>
      </w:r>
      <w:r w:rsidRPr="00C5133C">
        <w:rPr>
          <w:rFonts w:ascii="Cambria" w:hAnsi="Cambria"/>
          <w:sz w:val="22"/>
          <w:lang w:val="en-US"/>
        </w:rPr>
        <w:fldChar w:fldCharType="end"/>
      </w:r>
      <w:r w:rsidR="00005550" w:rsidRPr="00C5133C">
        <w:rPr>
          <w:rFonts w:ascii="Cambria" w:hAnsi="Cambria"/>
          <w:sz w:val="22"/>
          <w:lang w:val="en-US"/>
        </w:rPr>
        <w:t xml:space="preserve">. Hubungan wajib pajak dengan pemerintah dapat digambarkan sebagai hubungan antara </w:t>
      </w:r>
      <w:r w:rsidR="00005550" w:rsidRPr="00C5133C">
        <w:rPr>
          <w:rFonts w:ascii="Cambria" w:hAnsi="Cambria"/>
          <w:i/>
          <w:iCs/>
          <w:sz w:val="22"/>
          <w:lang w:val="en-US"/>
        </w:rPr>
        <w:t>agen</w:t>
      </w:r>
      <w:r w:rsidR="00280FE1" w:rsidRPr="00C5133C">
        <w:rPr>
          <w:rFonts w:ascii="Cambria" w:hAnsi="Cambria"/>
          <w:i/>
          <w:iCs/>
          <w:sz w:val="22"/>
          <w:lang w:val="en-US"/>
        </w:rPr>
        <w:t>t</w:t>
      </w:r>
      <w:r w:rsidR="00005550" w:rsidRPr="00C5133C">
        <w:rPr>
          <w:rFonts w:ascii="Cambria" w:hAnsi="Cambria"/>
          <w:sz w:val="22"/>
          <w:lang w:val="en-US"/>
        </w:rPr>
        <w:t xml:space="preserve"> dengan </w:t>
      </w:r>
      <w:r w:rsidR="00005550" w:rsidRPr="00C5133C">
        <w:rPr>
          <w:rFonts w:ascii="Cambria" w:hAnsi="Cambria"/>
          <w:i/>
          <w:iCs/>
          <w:sz w:val="22"/>
          <w:lang w:val="en-US"/>
        </w:rPr>
        <w:t>prin</w:t>
      </w:r>
      <w:r w:rsidR="00280FE1" w:rsidRPr="00C5133C">
        <w:rPr>
          <w:rFonts w:ascii="Cambria" w:hAnsi="Cambria"/>
          <w:i/>
          <w:iCs/>
          <w:sz w:val="22"/>
          <w:lang w:val="en-US"/>
        </w:rPr>
        <w:t>cipal</w:t>
      </w:r>
      <w:r w:rsidR="00280FE1" w:rsidRPr="00C5133C">
        <w:rPr>
          <w:rFonts w:ascii="Cambria" w:hAnsi="Cambria"/>
          <w:sz w:val="22"/>
          <w:lang w:val="en-US"/>
        </w:rPr>
        <w:t xml:space="preserve">-nya sebagaimana terjadi di teori agensi. </w:t>
      </w:r>
      <w:r w:rsidR="00280FE1" w:rsidRPr="00C5133C">
        <w:rPr>
          <w:rFonts w:ascii="Cambria" w:hAnsi="Cambria" w:cs="Times New Roman"/>
          <w:sz w:val="22"/>
        </w:rPr>
        <w:t xml:space="preserve">Teori Agensi adalah teori yang membahas hubungan antara </w:t>
      </w:r>
      <w:r w:rsidR="00280FE1" w:rsidRPr="00C5133C">
        <w:rPr>
          <w:rFonts w:ascii="Cambria" w:hAnsi="Cambria" w:cs="Times New Roman"/>
          <w:i/>
          <w:sz w:val="22"/>
        </w:rPr>
        <w:t>principal</w:t>
      </w:r>
      <w:r w:rsidR="00280FE1" w:rsidRPr="00C5133C">
        <w:rPr>
          <w:rFonts w:ascii="Cambria" w:hAnsi="Cambria" w:cs="Times New Roman"/>
          <w:sz w:val="22"/>
        </w:rPr>
        <w:t xml:space="preserve"> dan </w:t>
      </w:r>
      <w:r w:rsidR="00280FE1" w:rsidRPr="00C5133C">
        <w:rPr>
          <w:rFonts w:ascii="Cambria" w:hAnsi="Cambria" w:cs="Times New Roman"/>
          <w:i/>
          <w:sz w:val="22"/>
        </w:rPr>
        <w:t>agent</w:t>
      </w:r>
      <w:r w:rsidR="00280FE1" w:rsidRPr="00C5133C">
        <w:rPr>
          <w:rFonts w:ascii="Cambria" w:hAnsi="Cambria" w:cs="Times New Roman"/>
          <w:sz w:val="22"/>
        </w:rPr>
        <w:t xml:space="preserve"> yang dikemukakan oleh Jensen dan Meckling pada tahun 1976. </w:t>
      </w:r>
      <w:r w:rsidR="00280FE1" w:rsidRPr="00C5133C">
        <w:rPr>
          <w:rFonts w:ascii="Cambria" w:hAnsi="Cambria" w:cs="Times New Roman"/>
          <w:sz w:val="22"/>
        </w:rPr>
        <w:fldChar w:fldCharType="begin" w:fldLock="1"/>
      </w:r>
      <w:r w:rsidR="00280FE1" w:rsidRPr="00C5133C">
        <w:rPr>
          <w:rFonts w:ascii="Cambria" w:hAnsi="Cambria" w:cs="Times New Roman"/>
          <w:sz w:val="22"/>
        </w:rPr>
        <w:instrText>ADDIN CSL_CITATION {"citationItems":[{"id":"ITEM-1","itemData":{"DOI":"10.2139/ssrn.94043","ISBN":"9781315191157","author":[{"dropping-particle":"","family":"Jensen","given":"Michael C.","non-dropping-particle":"","parse-names":false,"suffix":""},{"dropping-particle":"","family":"Meckling","given":"William H.","non-dropping-particle":"","parse-names":false,"suffix":""}],"container-title":"Corporate Governance: Values, Ethics and Leadership","id":"ITEM-1","issued":{"date-parts":[["2019"]]},"page":"77-132","title":"Theory of the firm: Managerial behavior, agency costs and ownership structure","type":"article-journal"},"uris":["http://www.mendeley.com/documents/?uuid=ea3c8e39-b165-4419-9645-2b5e96dac11d"]}],"mendeley":{"formattedCitation":"(Jensen &amp; Meckling, 2019)","manualFormatting":"Jensen &amp; Meckling (2019)","plainTextFormattedCitation":"(Jensen &amp; Meckling, 2019)","previouslyFormattedCitation":"(Jensen &amp; Meckling, 2019)"},"properties":{"noteIndex":0},"schema":"https://github.com/citation-style-language/schema/raw/master/csl-citation.json"}</w:instrText>
      </w:r>
      <w:r w:rsidR="00280FE1" w:rsidRPr="00C5133C">
        <w:rPr>
          <w:rFonts w:ascii="Cambria" w:hAnsi="Cambria" w:cs="Times New Roman"/>
          <w:sz w:val="22"/>
        </w:rPr>
        <w:fldChar w:fldCharType="separate"/>
      </w:r>
      <w:r w:rsidR="00280FE1" w:rsidRPr="00C5133C">
        <w:rPr>
          <w:rFonts w:ascii="Cambria" w:hAnsi="Cambria" w:cs="Times New Roman"/>
          <w:noProof/>
          <w:sz w:val="22"/>
        </w:rPr>
        <w:t xml:space="preserve">Jensen &amp; Meckling </w:t>
      </w:r>
      <w:r w:rsidR="00280FE1" w:rsidRPr="00C5133C">
        <w:rPr>
          <w:rFonts w:ascii="Cambria" w:hAnsi="Cambria" w:cs="Times New Roman"/>
          <w:noProof/>
          <w:sz w:val="22"/>
          <w:lang w:val="en-US"/>
        </w:rPr>
        <w:t>(</w:t>
      </w:r>
      <w:r w:rsidR="00280FE1" w:rsidRPr="00C5133C">
        <w:rPr>
          <w:rFonts w:ascii="Cambria" w:hAnsi="Cambria" w:cs="Times New Roman"/>
          <w:noProof/>
          <w:sz w:val="22"/>
        </w:rPr>
        <w:t>2019)</w:t>
      </w:r>
      <w:r w:rsidR="00280FE1" w:rsidRPr="00C5133C">
        <w:rPr>
          <w:rFonts w:ascii="Cambria" w:hAnsi="Cambria" w:cs="Times New Roman"/>
          <w:sz w:val="22"/>
        </w:rPr>
        <w:fldChar w:fldCharType="end"/>
      </w:r>
      <w:r w:rsidR="00280FE1" w:rsidRPr="00C5133C">
        <w:rPr>
          <w:rFonts w:ascii="Cambria" w:hAnsi="Cambria" w:cs="Times New Roman"/>
          <w:sz w:val="22"/>
          <w:lang w:val="en-US"/>
        </w:rPr>
        <w:t xml:space="preserve"> </w:t>
      </w:r>
      <w:r w:rsidR="00280FE1" w:rsidRPr="00C5133C">
        <w:rPr>
          <w:rFonts w:ascii="Cambria" w:hAnsi="Cambria" w:cs="Times New Roman"/>
          <w:sz w:val="22"/>
        </w:rPr>
        <w:t xml:space="preserve">berpendapat bahwa hubungan </w:t>
      </w:r>
      <w:r w:rsidR="00280FE1" w:rsidRPr="00C5133C">
        <w:rPr>
          <w:rFonts w:ascii="Cambria" w:hAnsi="Cambria" w:cs="Times New Roman"/>
          <w:sz w:val="22"/>
          <w:lang w:val="en-US"/>
        </w:rPr>
        <w:t>antara keduanya</w:t>
      </w:r>
      <w:r w:rsidR="00280FE1" w:rsidRPr="00C5133C">
        <w:rPr>
          <w:rFonts w:ascii="Cambria" w:hAnsi="Cambria" w:cs="Times New Roman"/>
          <w:sz w:val="22"/>
        </w:rPr>
        <w:t xml:space="preserve"> adalah kontrak antara satu atau sekelompok orang </w:t>
      </w:r>
      <w:r w:rsidR="00280FE1" w:rsidRPr="00C5133C">
        <w:rPr>
          <w:rFonts w:ascii="Cambria" w:hAnsi="Cambria" w:cs="Times New Roman"/>
          <w:sz w:val="22"/>
          <w:lang w:val="en-US"/>
        </w:rPr>
        <w:t xml:space="preserve"> </w:t>
      </w:r>
      <w:r w:rsidR="00280FE1" w:rsidRPr="00C5133C">
        <w:rPr>
          <w:rFonts w:ascii="Cambria" w:hAnsi="Cambria" w:cs="Times New Roman"/>
          <w:i/>
          <w:sz w:val="22"/>
        </w:rPr>
        <w:t>principal</w:t>
      </w:r>
      <w:r w:rsidR="00280FE1" w:rsidRPr="00C5133C">
        <w:rPr>
          <w:rFonts w:ascii="Cambria" w:hAnsi="Cambria" w:cs="Times New Roman"/>
          <w:sz w:val="22"/>
        </w:rPr>
        <w:t xml:space="preserve"> yang me</w:t>
      </w:r>
      <w:r w:rsidR="00280FE1" w:rsidRPr="00C5133C">
        <w:rPr>
          <w:rFonts w:ascii="Cambria" w:hAnsi="Cambria" w:cs="Times New Roman"/>
          <w:sz w:val="22"/>
          <w:lang w:val="en-US"/>
        </w:rPr>
        <w:t>mberikan kuasa kepada</w:t>
      </w:r>
      <w:r w:rsidR="00280FE1" w:rsidRPr="00C5133C">
        <w:rPr>
          <w:rFonts w:ascii="Cambria" w:hAnsi="Cambria" w:cs="Times New Roman"/>
          <w:sz w:val="22"/>
        </w:rPr>
        <w:t xml:space="preserve"> pihak lain (</w:t>
      </w:r>
      <w:r w:rsidR="00280FE1" w:rsidRPr="00C5133C">
        <w:rPr>
          <w:rFonts w:ascii="Cambria" w:hAnsi="Cambria" w:cs="Times New Roman"/>
          <w:i/>
          <w:sz w:val="22"/>
        </w:rPr>
        <w:t>agent</w:t>
      </w:r>
      <w:r w:rsidR="00280FE1" w:rsidRPr="00C5133C">
        <w:rPr>
          <w:rFonts w:ascii="Cambria" w:hAnsi="Cambria" w:cs="Times New Roman"/>
          <w:sz w:val="22"/>
        </w:rPr>
        <w:t xml:space="preserve">) untuk melakukan sejumlah tugas dan memberikan wewenang untuk melakukan pengambilan keputusan. </w:t>
      </w:r>
      <w:r w:rsidR="00280FE1" w:rsidRPr="00C5133C">
        <w:rPr>
          <w:rFonts w:ascii="Cambria" w:hAnsi="Cambria" w:cs="Times New Roman"/>
          <w:sz w:val="22"/>
        </w:rPr>
        <w:fldChar w:fldCharType="begin" w:fldLock="1"/>
      </w:r>
      <w:r w:rsidR="00280FE1" w:rsidRPr="00C5133C">
        <w:rPr>
          <w:rFonts w:ascii="Cambria" w:hAnsi="Cambria" w:cs="Times New Roman"/>
          <w:sz w:val="22"/>
        </w:rPr>
        <w:instrText>ADDIN CSL_CITATION {"citationItems":[{"id":"ITEM-1","itemData":{"ISSN":"00014826","abstract":"[This paper reviews and critiques the positive accounting literature following publication of Watts and Zimmerman (1978, 1979). The 1978 paper helped generate the positive accounting literature which offers an explanation of accounting practice, suggests the importance of contracting costs, and has led to the discovery of some previously unknown empirical regularities. The 1979 paper produced a methodological debate that has not been very productive. This paper attempts to remove some common misconceptions about methodology that surfaced in the debate. It also suggests ways to improve positive research in accounting choice. The most important of these improvements is tighter links between the theory and the empirical tests. A second suggested improvement is the development of models that recognize the endogeneity among the variables in the regressions. A third improvement is reduction in measurement errors in both the dependent and independent variables in the regressions.]","author":[{"dropping-particle":"","family":"Watts","given":"Ross L","non-dropping-particle":"","parse-names":false,"suffix":""},{"dropping-particle":"","family":"Zimmerman","given":"Jerold L","non-dropping-particle":"","parse-names":false,"suffix":""}],"container-title":"The Accounting Review","id":"ITEM-1","issue":"1","issued":{"date-parts":[["1990","9","15"]]},"page":"131-156","publisher":"American Accounting Association","title":"Positive Accounting Theory: A Ten Year Perspective","type":"article-journal","volume":"65"},"uris":["http://www.mendeley.com/documents/?uuid=0b0f7726-9096-4531-a0e1-42e989c76a02"]}],"mendeley":{"formattedCitation":"(Watts &amp; Zimmerman, 1990)","manualFormatting":"Watts &amp; Zimmerman (1990)","plainTextFormattedCitation":"(Watts &amp; Zimmerman, 1990)","previouslyFormattedCitation":"(Watts &amp; Zimmerman, 1990)"},"properties":{"noteIndex":0},"schema":"https://github.com/citation-style-language/schema/raw/master/csl-citation.json"}</w:instrText>
      </w:r>
      <w:r w:rsidR="00280FE1" w:rsidRPr="00C5133C">
        <w:rPr>
          <w:rFonts w:ascii="Cambria" w:hAnsi="Cambria" w:cs="Times New Roman"/>
          <w:sz w:val="22"/>
        </w:rPr>
        <w:fldChar w:fldCharType="separate"/>
      </w:r>
      <w:r w:rsidR="00280FE1" w:rsidRPr="00C5133C">
        <w:rPr>
          <w:rFonts w:ascii="Cambria" w:hAnsi="Cambria" w:cs="Times New Roman"/>
          <w:noProof/>
          <w:sz w:val="22"/>
        </w:rPr>
        <w:t xml:space="preserve">Watts &amp; Zimmerman </w:t>
      </w:r>
      <w:r w:rsidR="00280FE1" w:rsidRPr="00C5133C">
        <w:rPr>
          <w:rFonts w:ascii="Cambria" w:hAnsi="Cambria" w:cs="Times New Roman"/>
          <w:noProof/>
          <w:sz w:val="22"/>
          <w:lang w:val="en-US"/>
        </w:rPr>
        <w:t>(</w:t>
      </w:r>
      <w:r w:rsidR="00280FE1" w:rsidRPr="00C5133C">
        <w:rPr>
          <w:rFonts w:ascii="Cambria" w:hAnsi="Cambria" w:cs="Times New Roman"/>
          <w:noProof/>
          <w:sz w:val="22"/>
        </w:rPr>
        <w:t>1990)</w:t>
      </w:r>
      <w:r w:rsidR="00280FE1" w:rsidRPr="00C5133C">
        <w:rPr>
          <w:rFonts w:ascii="Cambria" w:hAnsi="Cambria" w:cs="Times New Roman"/>
          <w:sz w:val="22"/>
        </w:rPr>
        <w:fldChar w:fldCharType="end"/>
      </w:r>
      <w:r w:rsidR="00280FE1" w:rsidRPr="00C5133C">
        <w:rPr>
          <w:rFonts w:ascii="Cambria" w:hAnsi="Cambria" w:cs="Times New Roman"/>
          <w:sz w:val="22"/>
        </w:rPr>
        <w:t xml:space="preserve"> menyatakan bahwa </w:t>
      </w:r>
      <w:r w:rsidR="00280FE1" w:rsidRPr="00C5133C">
        <w:rPr>
          <w:rFonts w:ascii="Cambria" w:hAnsi="Cambria" w:cs="Times New Roman"/>
          <w:sz w:val="22"/>
          <w:lang w:val="en-US"/>
        </w:rPr>
        <w:t>kontrak dapat berupa</w:t>
      </w:r>
      <w:r w:rsidR="00280FE1" w:rsidRPr="00C5133C">
        <w:rPr>
          <w:rFonts w:ascii="Cambria" w:hAnsi="Cambria" w:cs="Times New Roman"/>
          <w:sz w:val="22"/>
        </w:rPr>
        <w:t xml:space="preserve"> kontrak antara pemilik dengan manajemen, kontrak antara kreditur dengan </w:t>
      </w:r>
      <w:r w:rsidR="00280FE1" w:rsidRPr="00C5133C">
        <w:rPr>
          <w:rFonts w:ascii="Cambria" w:hAnsi="Cambria" w:cs="Times New Roman"/>
          <w:sz w:val="22"/>
          <w:lang w:val="en-US"/>
        </w:rPr>
        <w:t>perusahaan</w:t>
      </w:r>
      <w:r w:rsidR="00280FE1" w:rsidRPr="00C5133C">
        <w:rPr>
          <w:rFonts w:ascii="Cambria" w:hAnsi="Cambria" w:cs="Times New Roman"/>
          <w:sz w:val="22"/>
        </w:rPr>
        <w:t xml:space="preserve"> dan kontrak antara pemerintah dengan </w:t>
      </w:r>
      <w:r w:rsidR="00280FE1" w:rsidRPr="00C5133C">
        <w:rPr>
          <w:rFonts w:ascii="Cambria" w:hAnsi="Cambria" w:cs="Times New Roman"/>
          <w:sz w:val="22"/>
          <w:lang w:val="en-US"/>
        </w:rPr>
        <w:t>perusahaan</w:t>
      </w:r>
      <w:r w:rsidR="00280FE1" w:rsidRPr="00C5133C">
        <w:rPr>
          <w:rFonts w:ascii="Cambria" w:hAnsi="Cambria" w:cs="Times New Roman"/>
          <w:sz w:val="22"/>
        </w:rPr>
        <w:t xml:space="preserve">. </w:t>
      </w:r>
      <w:r w:rsidR="00280FE1" w:rsidRPr="00C5133C">
        <w:rPr>
          <w:rFonts w:ascii="Cambria" w:hAnsi="Cambria" w:cs="Times New Roman"/>
          <w:i/>
          <w:sz w:val="22"/>
        </w:rPr>
        <w:t xml:space="preserve">Principal </w:t>
      </w:r>
      <w:r w:rsidR="00280FE1" w:rsidRPr="00C5133C">
        <w:rPr>
          <w:rFonts w:ascii="Cambria" w:hAnsi="Cambria" w:cs="Times New Roman"/>
          <w:sz w:val="22"/>
        </w:rPr>
        <w:t xml:space="preserve">dan </w:t>
      </w:r>
      <w:r w:rsidR="00280FE1" w:rsidRPr="00C5133C">
        <w:rPr>
          <w:rFonts w:ascii="Cambria" w:hAnsi="Cambria" w:cs="Times New Roman"/>
          <w:i/>
          <w:sz w:val="22"/>
        </w:rPr>
        <w:t>agent</w:t>
      </w:r>
      <w:r w:rsidR="00280FE1" w:rsidRPr="00C5133C">
        <w:rPr>
          <w:rFonts w:ascii="Cambria" w:hAnsi="Cambria" w:cs="Times New Roman"/>
          <w:sz w:val="22"/>
        </w:rPr>
        <w:t xml:space="preserve"> dianggap memiliki rasio ekonomi dan dimotivasi oleh kepentingan masing-masing, sehingga </w:t>
      </w:r>
      <w:r w:rsidR="00280FE1" w:rsidRPr="00C5133C">
        <w:rPr>
          <w:rFonts w:ascii="Cambria" w:hAnsi="Cambria" w:cs="Times New Roman"/>
          <w:i/>
          <w:sz w:val="22"/>
        </w:rPr>
        <w:t>agent</w:t>
      </w:r>
      <w:r w:rsidR="00280FE1" w:rsidRPr="00C5133C">
        <w:rPr>
          <w:rFonts w:ascii="Cambria" w:hAnsi="Cambria" w:cs="Times New Roman"/>
          <w:sz w:val="22"/>
        </w:rPr>
        <w:t xml:space="preserve"> mungkin membu</w:t>
      </w:r>
      <w:r w:rsidR="00280FE1" w:rsidRPr="00C5133C">
        <w:rPr>
          <w:rFonts w:ascii="Cambria" w:hAnsi="Cambria" w:cs="Times New Roman"/>
          <w:sz w:val="22"/>
          <w:lang w:val="en-US"/>
        </w:rPr>
        <w:t>at keputusan</w:t>
      </w:r>
      <w:r w:rsidR="00280FE1" w:rsidRPr="00C5133C">
        <w:rPr>
          <w:rFonts w:ascii="Cambria" w:hAnsi="Cambria" w:cs="Times New Roman"/>
          <w:sz w:val="22"/>
        </w:rPr>
        <w:t xml:space="preserve"> yang tidak sejalan dengan keinginan </w:t>
      </w:r>
      <w:r w:rsidR="00280FE1" w:rsidRPr="00C5133C">
        <w:rPr>
          <w:rFonts w:ascii="Cambria" w:hAnsi="Cambria" w:cs="Times New Roman"/>
          <w:i/>
          <w:sz w:val="22"/>
        </w:rPr>
        <w:t>principal</w:t>
      </w:r>
      <w:r w:rsidR="00280FE1" w:rsidRPr="00C5133C">
        <w:rPr>
          <w:rFonts w:ascii="Cambria" w:hAnsi="Cambria" w:cs="Times New Roman"/>
          <w:sz w:val="22"/>
        </w:rPr>
        <w:t xml:space="preserve"> </w:t>
      </w:r>
      <w:r w:rsidR="00280FE1" w:rsidRPr="00C5133C">
        <w:rPr>
          <w:rFonts w:ascii="Cambria" w:hAnsi="Cambria" w:cs="Times New Roman"/>
          <w:sz w:val="22"/>
        </w:rPr>
        <w:fldChar w:fldCharType="begin" w:fldLock="1"/>
      </w:r>
      <w:r w:rsidR="00280FE1" w:rsidRPr="00C5133C">
        <w:rPr>
          <w:rFonts w:ascii="Cambria" w:hAnsi="Cambria" w:cs="Times New Roman"/>
          <w:sz w:val="22"/>
        </w:rPr>
        <w:instrText>ADDIN CSL_CITATION {"citationItems":[{"id":"ITEM-1","itemData":{"DOI":"10.32493/keberlanjutan.v2i1.y2017.p431-459","ISSN":"2528-5599","abstract":"AbstractThis research is aimed to provide empirical evident about relationship between leverage, loss carry forward and earnings management on tax avoidance. Using purposive sampling this research selected 264 firms that are listed in Indonesian Stock Exchange from 2013-2015 as samples. The result of multiple regression of panel data shows that there is significant relationship between leverage and earnings management on tax avoidance. Meanwhile, loss carry forward shows no significant relationship on tax avoidance. Keywords: leverage, loss carry forward, earnings management, tax avoidance","author":[{"dropping-particle":"","family":"Pajriyansyah","given":"Ridwan -","non-dropping-particle":"","parse-names":false,"suffix":""},{"dropping-particle":"","family":"Firmansyah","given":"Amrie -","non-dropping-particle":"","parse-names":false,"suffix":""}],"container-title":"Keberlanjutan","id":"ITEM-1","issue":"1","issued":{"date-parts":[["2017"]]},"page":"431","title":"Pengaruh Leverage, Kompensasi Rugi Fiskal Dan Manajemen Laba Terhadap Penghindaran Pajak","type":"article-journal","volume":"2"},"uris":["http://www.mendeley.com/documents/?uuid=79dde6cf-71c5-4f7f-8af3-6f1db3e66d65"]}],"mendeley":{"formattedCitation":"(Pajriyansyah &amp; Firmansyah, 2017)","plainTextFormattedCitation":"(Pajriyansyah &amp; Firmansyah, 2017)","previouslyFormattedCitation":"(Pajriyansyah &amp; Firmansyah, 2017)"},"properties":{"noteIndex":0},"schema":"https://github.com/citation-style-language/schema/raw/master/csl-citation.json"}</w:instrText>
      </w:r>
      <w:r w:rsidR="00280FE1" w:rsidRPr="00C5133C">
        <w:rPr>
          <w:rFonts w:ascii="Cambria" w:hAnsi="Cambria" w:cs="Times New Roman"/>
          <w:sz w:val="22"/>
        </w:rPr>
        <w:fldChar w:fldCharType="separate"/>
      </w:r>
      <w:r w:rsidR="00280FE1" w:rsidRPr="00C5133C">
        <w:rPr>
          <w:rFonts w:ascii="Cambria" w:hAnsi="Cambria" w:cs="Times New Roman"/>
          <w:noProof/>
          <w:sz w:val="22"/>
        </w:rPr>
        <w:t>(Pajriyansyah &amp; Firmansyah, 2017)</w:t>
      </w:r>
      <w:r w:rsidR="00280FE1" w:rsidRPr="00C5133C">
        <w:rPr>
          <w:rFonts w:ascii="Cambria" w:hAnsi="Cambria" w:cs="Times New Roman"/>
          <w:sz w:val="22"/>
        </w:rPr>
        <w:fldChar w:fldCharType="end"/>
      </w:r>
      <w:r w:rsidR="00280FE1" w:rsidRPr="00C5133C">
        <w:rPr>
          <w:rFonts w:ascii="Cambria" w:hAnsi="Cambria" w:cs="Times New Roman"/>
          <w:sz w:val="22"/>
        </w:rPr>
        <w:t>.</w:t>
      </w:r>
    </w:p>
    <w:p w14:paraId="20E0D711" w14:textId="544AD8FA" w:rsidR="00C374C8" w:rsidRPr="00C5133C" w:rsidRDefault="00C374C8" w:rsidP="00C5133C">
      <w:pPr>
        <w:spacing w:line="276" w:lineRule="auto"/>
        <w:rPr>
          <w:rFonts w:ascii="Cambria" w:hAnsi="Cambria" w:cs="Times New Roman"/>
          <w:sz w:val="22"/>
          <w:lang w:val="en-US"/>
        </w:rPr>
      </w:pPr>
      <w:r w:rsidRPr="00C5133C">
        <w:rPr>
          <w:rFonts w:ascii="Cambria" w:hAnsi="Cambria" w:cs="Times New Roman"/>
          <w:sz w:val="22"/>
          <w:lang w:val="en-US"/>
        </w:rPr>
        <w:t xml:space="preserve">Penghindaran pajak adalah usaha pengurangan jumlah pajak </w:t>
      </w:r>
      <w:r w:rsidR="006D66D8">
        <w:rPr>
          <w:rFonts w:ascii="Cambria" w:hAnsi="Cambria" w:cs="Times New Roman"/>
          <w:sz w:val="22"/>
          <w:lang w:val="en-US"/>
        </w:rPr>
        <w:t>y</w:t>
      </w:r>
      <w:r w:rsidRPr="00C5133C">
        <w:rPr>
          <w:rFonts w:ascii="Cambria" w:hAnsi="Cambria" w:cs="Times New Roman"/>
          <w:sz w:val="22"/>
          <w:lang w:val="en-US"/>
        </w:rPr>
        <w:t>ang dilakukan mela</w:t>
      </w:r>
      <w:r w:rsidR="006D66D8">
        <w:rPr>
          <w:rFonts w:ascii="Cambria" w:hAnsi="Cambria" w:cs="Times New Roman"/>
          <w:sz w:val="22"/>
          <w:lang w:val="en-US"/>
        </w:rPr>
        <w:t>l</w:t>
      </w:r>
      <w:r w:rsidRPr="00C5133C">
        <w:rPr>
          <w:rFonts w:ascii="Cambria" w:hAnsi="Cambria" w:cs="Times New Roman"/>
          <w:sz w:val="22"/>
          <w:lang w:val="en-US"/>
        </w:rPr>
        <w:t>ui serangkai</w:t>
      </w:r>
      <w:r w:rsidR="006D66D8">
        <w:rPr>
          <w:rFonts w:ascii="Cambria" w:hAnsi="Cambria" w:cs="Times New Roman"/>
          <w:sz w:val="22"/>
          <w:lang w:val="en-US"/>
        </w:rPr>
        <w:t>a</w:t>
      </w:r>
      <w:r w:rsidRPr="00C5133C">
        <w:rPr>
          <w:rFonts w:ascii="Cambria" w:hAnsi="Cambria" w:cs="Times New Roman"/>
          <w:sz w:val="22"/>
          <w:lang w:val="en-US"/>
        </w:rPr>
        <w:t xml:space="preserve">n strategi </w:t>
      </w:r>
      <w:r w:rsidRPr="00C5133C">
        <w:rPr>
          <w:rFonts w:ascii="Cambria" w:hAnsi="Cambria" w:cs="Times New Roman"/>
          <w:i/>
          <w:sz w:val="22"/>
          <w:lang w:val="en-US"/>
        </w:rPr>
        <w:t>tax planning</w:t>
      </w:r>
      <w:r w:rsidRPr="00C5133C">
        <w:rPr>
          <w:rFonts w:ascii="Cambria" w:hAnsi="Cambria" w:cs="Times New Roman"/>
          <w:sz w:val="22"/>
          <w:lang w:val="en-US"/>
        </w:rPr>
        <w:t xml:space="preserve"> </w:t>
      </w:r>
      <w:r w:rsidRPr="00C5133C">
        <w:rPr>
          <w:rFonts w:ascii="Cambria" w:hAnsi="Cambria" w:cs="Times New Roman"/>
          <w:sz w:val="22"/>
          <w:lang w:val="en-US"/>
        </w:rPr>
        <w:fldChar w:fldCharType="begin" w:fldLock="1"/>
      </w:r>
      <w:r w:rsidRPr="00C5133C">
        <w:rPr>
          <w:rFonts w:ascii="Cambria" w:hAnsi="Cambria" w:cs="Times New Roman"/>
          <w:sz w:val="22"/>
          <w:lang w:val="en-US"/>
        </w:rPr>
        <w:instrText>ADDIN CSL_CITATION {"citationItems":[{"id":"ITEM-1","itemData":{"DOI":"10.1016/j.jacceco.2010.09.002","ISSN":"01654101","abstract":"In this paper, we present a review of tax research. We survey four main areas of the literature: (1) the informational role of income tax expense reported for financial accounting, (2) corporate tax avoidance, (3) corporate decision-making including investment, capital structure, and organizational form, and (4) taxes and asset pricing. We summarize the research areas and questions examined to date and what we have learned or not learned from the work completed thus far. In addition, we provide our opinion as to the interesting and important issues for future research. © 2010 Elsevier B.V.","author":[{"dropping-particle":"","family":"Hanlon","given":"Michelle","non-dropping-particle":"","parse-names":false,"suffix":""},{"dropping-particle":"","family":"Heitzman","given":"Shane","non-dropping-particle":"","parse-names":false,"suffix":""}],"container-title":"Journal of Accounting and Economics","id":"ITEM-1","issue":"2-3","issued":{"date-parts":[["2010"]]},"page":"127-178","publisher":"Elsevier","title":"A review of tax research","type":"article-journal","volume":"50"},"uris":["http://www.mendeley.com/documents/?uuid=060b124b-4d0a-4843-afb2-58fb3ac4feb8"]}],"mendeley":{"formattedCitation":"(Hanlon &amp; Heitzman, 2010)","plainTextFormattedCitation":"(Hanlon &amp; Heitzman, 2010)","previouslyFormattedCitation":"(Hanlon &amp; Heitzman, 2010)"},"properties":{"noteIndex":0},"schema":"https://github.com/citation-style-language/schema/raw/master/csl-citation.json"}</w:instrText>
      </w:r>
      <w:r w:rsidRPr="00C5133C">
        <w:rPr>
          <w:rFonts w:ascii="Cambria" w:hAnsi="Cambria" w:cs="Times New Roman"/>
          <w:sz w:val="22"/>
          <w:lang w:val="en-US"/>
        </w:rPr>
        <w:fldChar w:fldCharType="separate"/>
      </w:r>
      <w:r w:rsidRPr="00C5133C">
        <w:rPr>
          <w:rFonts w:ascii="Cambria" w:hAnsi="Cambria" w:cs="Times New Roman"/>
          <w:noProof/>
          <w:sz w:val="22"/>
          <w:lang w:val="en-US"/>
        </w:rPr>
        <w:t>(Hanlon &amp; Heitzman, 2010)</w:t>
      </w:r>
      <w:r w:rsidRPr="00C5133C">
        <w:rPr>
          <w:rFonts w:ascii="Cambria" w:hAnsi="Cambria" w:cs="Times New Roman"/>
          <w:sz w:val="22"/>
          <w:lang w:val="en-US"/>
        </w:rPr>
        <w:fldChar w:fldCharType="end"/>
      </w:r>
      <w:r w:rsidRPr="00C5133C">
        <w:rPr>
          <w:rFonts w:ascii="Cambria" w:hAnsi="Cambria" w:cs="Times New Roman"/>
          <w:sz w:val="22"/>
          <w:lang w:val="en-US"/>
        </w:rPr>
        <w:t xml:space="preserve">. </w:t>
      </w:r>
      <w:r w:rsidRPr="00C5133C">
        <w:rPr>
          <w:rFonts w:ascii="Cambria" w:hAnsi="Cambria"/>
          <w:sz w:val="22"/>
        </w:rPr>
        <w:t>Mardiasmo dalam</w:t>
      </w:r>
      <w:r w:rsidRPr="00C5133C">
        <w:rPr>
          <w:rFonts w:ascii="Cambria" w:hAnsi="Cambria"/>
          <w:sz w:val="22"/>
          <w:lang w:val="en-US"/>
        </w:rPr>
        <w:t xml:space="preserve"> </w:t>
      </w:r>
      <w:r w:rsidRPr="00C5133C">
        <w:rPr>
          <w:rFonts w:ascii="Cambria" w:hAnsi="Cambria"/>
          <w:sz w:val="22"/>
          <w:lang w:val="en-US"/>
        </w:rPr>
        <w:fldChar w:fldCharType="begin" w:fldLock="1"/>
      </w:r>
      <w:r w:rsidRPr="00C5133C">
        <w:rPr>
          <w:rFonts w:ascii="Cambria" w:hAnsi="Cambria"/>
          <w:sz w:val="22"/>
          <w:lang w:val="en-US"/>
        </w:rPr>
        <w:instrText>ADDIN CSL_CITATION {"citationItems":[{"id":"ITEM-1","itemData":{"author":[{"dropping-particle":"","family":"Zaki","given":"Fauzan","non-dropping-particle":"","parse-names":false,"suffix":""},{"dropping-particle":"","family":"Ginting","given":"Budiman","non-dropping-particle":"","parse-names":false,"suffix":""},{"dropping-particle":"","family":"Devi","given":"Keizerina","non-dropping-particle":"","parse-names":false,"suffix":""},{"dropping-particle":"","family":"BAriah","given":"CHairul","non-dropping-particle":"","parse-names":false,"suffix":""}],"container-title":"Usu Law Journal","id":"ITEM-1","issue":"6","issued":{"date-parts":[["2019"]]},"page":"1-15","title":"Analisis Hukum Terhadap Tindakan Penghindaran Pajak (Tax Avoidance) yang Dilakukan oleh Perusahaan Berdasarkan Hukum Pajak di Indonesia","type":"article-journal","volume":"7"},"uris":["http://www.mendeley.com/documents/?uuid=a62cc92b-1093-4dfd-88e4-19a62708e09c"]}],"mendeley":{"formattedCitation":"(Zaki et al., 2019)","plainTextFormattedCitation":"(Zaki et al., 2019)","previouslyFormattedCitation":"(Zaki et al., 2019)"},"properties":{"noteIndex":0},"schema":"https://github.com/citation-style-language/schema/raw/master/csl-citation.json"}</w:instrText>
      </w:r>
      <w:r w:rsidRPr="00C5133C">
        <w:rPr>
          <w:rFonts w:ascii="Cambria" w:hAnsi="Cambria"/>
          <w:sz w:val="22"/>
          <w:lang w:val="en-US"/>
        </w:rPr>
        <w:fldChar w:fldCharType="separate"/>
      </w:r>
      <w:r w:rsidRPr="00C5133C">
        <w:rPr>
          <w:rFonts w:ascii="Cambria" w:hAnsi="Cambria"/>
          <w:noProof/>
          <w:sz w:val="22"/>
          <w:lang w:val="en-US"/>
        </w:rPr>
        <w:t xml:space="preserve">(Zaki </w:t>
      </w:r>
      <w:r w:rsidR="00BF2898" w:rsidRPr="00C5133C">
        <w:rPr>
          <w:rFonts w:ascii="Cambria" w:hAnsi="Cambria"/>
          <w:i/>
          <w:noProof/>
          <w:sz w:val="22"/>
          <w:lang w:val="en-US"/>
        </w:rPr>
        <w:t>et al.</w:t>
      </w:r>
      <w:r w:rsidRPr="00C5133C">
        <w:rPr>
          <w:rFonts w:ascii="Cambria" w:hAnsi="Cambria"/>
          <w:noProof/>
          <w:sz w:val="22"/>
          <w:lang w:val="en-US"/>
        </w:rPr>
        <w:t>, 2019)</w:t>
      </w:r>
      <w:r w:rsidRPr="00C5133C">
        <w:rPr>
          <w:rFonts w:ascii="Cambria" w:hAnsi="Cambria"/>
          <w:sz w:val="22"/>
          <w:lang w:val="en-US"/>
        </w:rPr>
        <w:fldChar w:fldCharType="end"/>
      </w:r>
      <w:r w:rsidRPr="00C5133C">
        <w:rPr>
          <w:rFonts w:ascii="Cambria" w:hAnsi="Cambria"/>
          <w:sz w:val="22"/>
        </w:rPr>
        <w:t xml:space="preserve"> berpendapat bahwa penghindaran pajak (</w:t>
      </w:r>
      <w:r w:rsidRPr="00C5133C">
        <w:rPr>
          <w:rFonts w:ascii="Cambria" w:hAnsi="Cambria"/>
          <w:i/>
          <w:sz w:val="22"/>
        </w:rPr>
        <w:t>tax avoidance</w:t>
      </w:r>
      <w:r w:rsidRPr="00C5133C">
        <w:rPr>
          <w:rFonts w:ascii="Cambria" w:hAnsi="Cambria"/>
          <w:sz w:val="22"/>
        </w:rPr>
        <w:t>) dapat dijadikan opsi sebagai sebuah alat (</w:t>
      </w:r>
      <w:r w:rsidRPr="00C5133C">
        <w:rPr>
          <w:rFonts w:ascii="Cambria" w:hAnsi="Cambria"/>
          <w:i/>
          <w:sz w:val="22"/>
        </w:rPr>
        <w:t>tools</w:t>
      </w:r>
      <w:r w:rsidRPr="00C5133C">
        <w:rPr>
          <w:rFonts w:ascii="Cambria" w:hAnsi="Cambria"/>
          <w:sz w:val="22"/>
        </w:rPr>
        <w:t>) untuk meminimalkan beban pajak yang tercantum pada laporan keuangan dengan cara</w:t>
      </w:r>
      <w:r w:rsidRPr="00C5133C">
        <w:rPr>
          <w:rFonts w:ascii="Cambria" w:hAnsi="Cambria"/>
          <w:sz w:val="22"/>
          <w:lang w:val="en-US"/>
        </w:rPr>
        <w:t xml:space="preserve"> yang</w:t>
      </w:r>
      <w:r w:rsidRPr="00C5133C">
        <w:rPr>
          <w:rFonts w:ascii="Cambria" w:hAnsi="Cambria"/>
          <w:sz w:val="22"/>
        </w:rPr>
        <w:t xml:space="preserve"> masih dalam koridor aturan perpajakan yang berlaku, tetapi sebagian besar orang tidak menerima tindakan penghindaran pajak</w:t>
      </w:r>
      <w:r w:rsidRPr="00C5133C">
        <w:rPr>
          <w:rFonts w:ascii="Cambria" w:hAnsi="Cambria"/>
          <w:sz w:val="22"/>
          <w:lang w:val="en-US"/>
        </w:rPr>
        <w:t xml:space="preserve">. </w:t>
      </w:r>
      <w:r w:rsidRPr="00C5133C">
        <w:rPr>
          <w:rFonts w:ascii="Cambria" w:hAnsi="Cambria" w:cs="Times New Roman"/>
          <w:sz w:val="22"/>
          <w:lang w:val="en-US"/>
        </w:rPr>
        <w:t xml:space="preserve">Wajib pajak cenderung untuk mengecilkan laba untuk menghindari membayar pajak yang merupakan biaya politik yang besar </w:t>
      </w:r>
      <w:r w:rsidRPr="00C5133C">
        <w:rPr>
          <w:rFonts w:ascii="Cambria" w:hAnsi="Cambria" w:cs="Times New Roman"/>
          <w:sz w:val="22"/>
          <w:lang w:val="en-US"/>
        </w:rPr>
        <w:fldChar w:fldCharType="begin" w:fldLock="1"/>
      </w:r>
      <w:r w:rsidRPr="00C5133C">
        <w:rPr>
          <w:rFonts w:ascii="Cambria" w:hAnsi="Cambria" w:cs="Times New Roman"/>
          <w:sz w:val="22"/>
          <w:lang w:val="en-US"/>
        </w:rPr>
        <w:instrText>ADDIN CSL_CITATION {"citationItems":[{"id":"ITEM-1","itemData":{"ISSN":"00014826","abstract":"[This paper reviews and critiques the positive accounting literature following publication of Watts and Zimmerman (1978, 1979). The 1978 paper helped generate the positive accounting literature which offers an explanation of accounting practice, suggests the importance of contracting costs, and has led to the discovery of some previously unknown empirical regularities. The 1979 paper produced a methodological debate that has not been very productive. This paper attempts to remove some common misconceptions about methodology that surfaced in the debate. It also suggests ways to improve positive research in accounting choice. The most important of these improvements is tighter links between the theory and the empirical tests. A second suggested improvement is the development of models that recognize the endogeneity among the variables in the regressions. A third improvement is reduction in measurement errors in both the dependent and independent variables in the regressions.]","author":[{"dropping-particle":"","family":"Watts","given":"Ross L","non-dropping-particle":"","parse-names":false,"suffix":""},{"dropping-particle":"","family":"Zimmerman","given":"Jerold L","non-dropping-particle":"","parse-names":false,"suffix":""}],"container-title":"The Accounting Review","id":"ITEM-1","issue":"1","issued":{"date-parts":[["1990","9","15"]]},"page":"131-156","publisher":"American Accounting Association","title":"Positive Accounting Theory: A Ten Year Perspective","type":"article-journal","volume":"65"},"uris":["http://www.mendeley.com/documents/?uuid=0b0f7726-9096-4531-a0e1-42e989c76a02"]}],"mendeley":{"formattedCitation":"(Watts &amp; Zimmerman, 1990)","plainTextFormattedCitation":"(Watts &amp; Zimmerman, 1990)","previouslyFormattedCitation":"(Watts &amp; Zimmerman, 1990)"},"properties":{"noteIndex":0},"schema":"https://github.com/citation-style-language/schema/raw/master/csl-citation.json"}</w:instrText>
      </w:r>
      <w:r w:rsidRPr="00C5133C">
        <w:rPr>
          <w:rFonts w:ascii="Cambria" w:hAnsi="Cambria" w:cs="Times New Roman"/>
          <w:sz w:val="22"/>
          <w:lang w:val="en-US"/>
        </w:rPr>
        <w:fldChar w:fldCharType="separate"/>
      </w:r>
      <w:r w:rsidRPr="00C5133C">
        <w:rPr>
          <w:rFonts w:ascii="Cambria" w:hAnsi="Cambria" w:cs="Times New Roman"/>
          <w:noProof/>
          <w:sz w:val="22"/>
          <w:lang w:val="en-US"/>
        </w:rPr>
        <w:t>(Watts &amp; Zimmerman, 1990)</w:t>
      </w:r>
      <w:r w:rsidRPr="00C5133C">
        <w:rPr>
          <w:rFonts w:ascii="Cambria" w:hAnsi="Cambria" w:cs="Times New Roman"/>
          <w:sz w:val="22"/>
          <w:lang w:val="en-US"/>
        </w:rPr>
        <w:fldChar w:fldCharType="end"/>
      </w:r>
      <w:r w:rsidRPr="00C5133C">
        <w:rPr>
          <w:rFonts w:ascii="Cambria" w:hAnsi="Cambria" w:cs="Times New Roman"/>
          <w:sz w:val="22"/>
          <w:lang w:val="en-US"/>
        </w:rPr>
        <w:t xml:space="preserve">. </w:t>
      </w:r>
      <w:r w:rsidR="00280FE1" w:rsidRPr="00C5133C">
        <w:rPr>
          <w:rFonts w:ascii="Cambria" w:hAnsi="Cambria" w:cs="Times New Roman"/>
          <w:sz w:val="22"/>
        </w:rPr>
        <w:t xml:space="preserve">Tindakan penghindaran pajak dapat terjadi karena perusahaan menganggap pajak sebagai beban, karenanya </w:t>
      </w:r>
      <w:r w:rsidR="00280FE1" w:rsidRPr="00C5133C">
        <w:rPr>
          <w:rFonts w:ascii="Cambria" w:hAnsi="Cambria" w:cs="Times New Roman"/>
          <w:i/>
          <w:sz w:val="22"/>
          <w:lang w:val="en-US"/>
        </w:rPr>
        <w:t>principal</w:t>
      </w:r>
      <w:r w:rsidR="00280FE1" w:rsidRPr="00C5133C">
        <w:rPr>
          <w:rFonts w:ascii="Cambria" w:hAnsi="Cambria" w:cs="Times New Roman"/>
          <w:sz w:val="22"/>
          <w:lang w:val="en-US"/>
        </w:rPr>
        <w:t xml:space="preserve"> </w:t>
      </w:r>
      <w:r w:rsidR="00280FE1" w:rsidRPr="00C5133C">
        <w:rPr>
          <w:rFonts w:ascii="Cambria" w:hAnsi="Cambria" w:cs="Times New Roman"/>
          <w:sz w:val="22"/>
        </w:rPr>
        <w:t xml:space="preserve">akan lebih senang jika </w:t>
      </w:r>
      <w:r w:rsidR="00280FE1" w:rsidRPr="00C5133C">
        <w:rPr>
          <w:rFonts w:ascii="Cambria" w:hAnsi="Cambria" w:cs="Times New Roman"/>
          <w:i/>
          <w:sz w:val="22"/>
          <w:lang w:val="en-US"/>
        </w:rPr>
        <w:t>agent</w:t>
      </w:r>
      <w:r w:rsidR="00280FE1" w:rsidRPr="00C5133C">
        <w:rPr>
          <w:rFonts w:ascii="Cambria" w:hAnsi="Cambria" w:cs="Times New Roman"/>
          <w:sz w:val="22"/>
        </w:rPr>
        <w:t xml:space="preserve"> melakukan tindakan</w:t>
      </w:r>
      <w:r w:rsidR="00280FE1" w:rsidRPr="00C5133C">
        <w:rPr>
          <w:rFonts w:ascii="Cambria" w:hAnsi="Cambria" w:cs="Times New Roman"/>
          <w:sz w:val="22"/>
          <w:lang w:val="en-US"/>
        </w:rPr>
        <w:t xml:space="preserve"> pajak</w:t>
      </w:r>
      <w:r w:rsidR="00280FE1" w:rsidRPr="00C5133C">
        <w:rPr>
          <w:rFonts w:ascii="Cambria" w:hAnsi="Cambria" w:cs="Times New Roman"/>
          <w:sz w:val="22"/>
        </w:rPr>
        <w:t xml:space="preserve"> yang agresif</w:t>
      </w:r>
      <w:r w:rsidR="00280FE1" w:rsidRPr="00C5133C">
        <w:rPr>
          <w:rFonts w:ascii="Cambria" w:hAnsi="Cambria" w:cs="Times New Roman"/>
          <w:sz w:val="22"/>
          <w:lang w:val="en-US"/>
        </w:rPr>
        <w:t xml:space="preserve"> </w:t>
      </w:r>
      <w:r w:rsidR="00280FE1" w:rsidRPr="00C5133C">
        <w:rPr>
          <w:rFonts w:ascii="Cambria" w:hAnsi="Cambria" w:cs="Times New Roman"/>
          <w:sz w:val="22"/>
        </w:rPr>
        <w:fldChar w:fldCharType="begin" w:fldLock="1"/>
      </w:r>
      <w:r w:rsidR="00280FE1" w:rsidRPr="00C5133C">
        <w:rPr>
          <w:rFonts w:ascii="Cambria" w:hAnsi="Cambria" w:cs="Times New Roman"/>
          <w:sz w:val="22"/>
        </w:rPr>
        <w:instrText>ADDIN CSL_CITATION {"citationItems":[{"id":"ITEM-1","itemData":{"DOI":"10.1504/IJMFA.2019.099772","ISSN":"17536723","abstract":"This study aims to examine the factors affecting the complementary level of financial and tax aggressiveness. This research considers the diversity of cost and benefit faced by firms when presenting financial and tax reporting aggressively at the same time. Our proxies for cost (the level of detection risk) are country-level variables, namely book-tax conformity and law enforcement. Meanwhile, our proxy for benefit is the financial constraint of a firm. In this study, we develop a new measure of financial constraint which is more comprehensive. Using a sample of listed firms in East Asia and Europe from 2014 to 2016, we find that firms with a higher level of detection risk (such as higher book-tax conformity or stronger law enforcement) tend to engage in a lower complementary level of financial and tax aggressiveness, in accordance with the developed hypothesis. We also find that firms tend to engage in a higher complementary level of financial and tax aggressiveness if they will derive significant benefit from aggressive financial and tax reporting activities. These results suggest that firm and country characteristics influence managers' decisions to present financial statements and tax reporting aggressively at the same time or not.","author":[{"dropping-particle":"","family":"Rachmawati","given":"Nurul Aisyah","non-dropping-particle":"","parse-names":false,"suffix":""},{"dropping-particle":"","family":"Utama","given":"Sidharta","non-dropping-particle":"","parse-names":false,"suffix":""},{"dropping-particle":"","family":"Martani","given":"Dwi","non-dropping-particle":"","parse-names":false,"suffix":""},{"dropping-particle":"","family":"Wardhani","given":"Ratna","non-dropping-particle":"","parse-names":false,"suffix":""}],"container-title":"International Journal of Managerial and Financial Accounting","id":"ITEM-1","issue":"2","issued":{"date-parts":[["2019"]]},"page":"145-166","title":"Determinants of the complementary level of financial and tax aggressiveness: A cross-country study","type":"article-journal","volume":"11"},"uris":["http://www.mendeley.com/documents/?uuid=1967e68e-3b2c-4fd6-b269-6146e87f7e75"]}],"mendeley":{"formattedCitation":"(Rachmawati et al., 2019)","plainTextFormattedCitation":"(Rachmawati et al., 2019)","previouslyFormattedCitation":"(Rachmawati et al., 2019)"},"properties":{"noteIndex":0},"schema":"https://github.com/citation-style-language/schema/raw/master/csl-citation.json"}</w:instrText>
      </w:r>
      <w:r w:rsidR="00280FE1" w:rsidRPr="00C5133C">
        <w:rPr>
          <w:rFonts w:ascii="Cambria" w:hAnsi="Cambria" w:cs="Times New Roman"/>
          <w:sz w:val="22"/>
        </w:rPr>
        <w:fldChar w:fldCharType="separate"/>
      </w:r>
      <w:r w:rsidR="00280FE1" w:rsidRPr="00C5133C">
        <w:rPr>
          <w:rFonts w:ascii="Cambria" w:hAnsi="Cambria" w:cs="Times New Roman"/>
          <w:noProof/>
          <w:sz w:val="22"/>
        </w:rPr>
        <w:t xml:space="preserve">(Rachmawati </w:t>
      </w:r>
      <w:r w:rsidR="00280FE1" w:rsidRPr="00C5133C">
        <w:rPr>
          <w:rFonts w:ascii="Cambria" w:hAnsi="Cambria" w:cs="Times New Roman"/>
          <w:i/>
          <w:noProof/>
          <w:sz w:val="22"/>
        </w:rPr>
        <w:t>et al.</w:t>
      </w:r>
      <w:r w:rsidR="00280FE1" w:rsidRPr="00C5133C">
        <w:rPr>
          <w:rFonts w:ascii="Cambria" w:hAnsi="Cambria" w:cs="Times New Roman"/>
          <w:noProof/>
          <w:sz w:val="22"/>
        </w:rPr>
        <w:t>, 2019)</w:t>
      </w:r>
      <w:r w:rsidR="00280FE1" w:rsidRPr="00C5133C">
        <w:rPr>
          <w:rFonts w:ascii="Cambria" w:hAnsi="Cambria" w:cs="Times New Roman"/>
          <w:sz w:val="22"/>
        </w:rPr>
        <w:fldChar w:fldCharType="end"/>
      </w:r>
      <w:r w:rsidR="00280FE1" w:rsidRPr="00C5133C">
        <w:rPr>
          <w:rFonts w:ascii="Cambria" w:hAnsi="Cambria" w:cs="Times New Roman"/>
          <w:sz w:val="22"/>
        </w:rPr>
        <w:t xml:space="preserve">. </w:t>
      </w:r>
      <w:r w:rsidR="00280FE1" w:rsidRPr="00C5133C">
        <w:rPr>
          <w:rFonts w:ascii="Cambria" w:hAnsi="Cambria" w:cs="Times New Roman"/>
          <w:sz w:val="22"/>
        </w:rPr>
        <w:fldChar w:fldCharType="begin" w:fldLock="1"/>
      </w:r>
      <w:r w:rsidR="00280FE1" w:rsidRPr="00C5133C">
        <w:rPr>
          <w:rFonts w:ascii="Cambria" w:hAnsi="Cambria" w:cs="Times New Roman"/>
          <w:sz w:val="22"/>
        </w:rPr>
        <w:instrText>ADDIN CSL_CITATION {"citationItems":[{"id":"ITEM-1","itemData":{"ISSN":"00014826","abstract":"[We investigate the association between aggressive tax and financial reporting and find a strong, positive relation. Our results suggest that insufficient costs exist to offset financial and tax reporting incentives, such that nonconformity between financial accounting standards and tax law allows firms to manage book income upward and taxable income downward in the same reporting period. To examine the relation between these aggressive reporting behaviors, we develop a measure of tax reporting aggressiveness that statistically detects tax shelter activity at least as well as, and often better than, other measures. In supplemental stock returns analyses, we confirm that the market overprices finacial reporting aggressiveness. We also find that the market overprices tax reporting aggressiveness, but only for firms with the most aggressive finacial reporting.]","author":[{"dropping-particle":"","family":"Frank","given":"Mary Margaret","non-dropping-particle":"","parse-names":false,"suffix":""},{"dropping-particle":"","family":"Lynch","given":"Luann J","non-dropping-particle":"","parse-names":false,"suffix":""},{"dropping-particle":"","family":"Rego","given":"Sonja Olhoft","non-dropping-particle":"","parse-names":false,"suffix":""}],"container-title":"The Accounting Review","id":"ITEM-1","issue":"2","issued":{"date-parts":[["2009","9","15"]]},"page":"467-496","publisher":"American Accounting Association","title":"Tax Reporting Aggressiveness and Its Relation to Aggressive Financial Reporting","type":"article-journal","volume":"84"},"uris":["http://www.mendeley.com/documents/?uuid=286eced1-b939-4628-8ed7-41bd9d404bd9"]}],"mendeley":{"formattedCitation":"(Frank et al., 2009)","manualFormatting":"Frank et al. (2009)","plainTextFormattedCitation":"(Frank et al., 2009)","previouslyFormattedCitation":"(Frank et al., 2009)"},"properties":{"noteIndex":0},"schema":"https://github.com/citation-style-language/schema/raw/master/csl-citation.json"}</w:instrText>
      </w:r>
      <w:r w:rsidR="00280FE1" w:rsidRPr="00C5133C">
        <w:rPr>
          <w:rFonts w:ascii="Cambria" w:hAnsi="Cambria" w:cs="Times New Roman"/>
          <w:sz w:val="22"/>
        </w:rPr>
        <w:fldChar w:fldCharType="separate"/>
      </w:r>
      <w:r w:rsidR="00280FE1" w:rsidRPr="00C5133C">
        <w:rPr>
          <w:rFonts w:ascii="Cambria" w:hAnsi="Cambria" w:cs="Times New Roman"/>
          <w:noProof/>
          <w:sz w:val="22"/>
        </w:rPr>
        <w:t xml:space="preserve">Frank </w:t>
      </w:r>
      <w:r w:rsidR="00280FE1" w:rsidRPr="00C5133C">
        <w:rPr>
          <w:rFonts w:ascii="Cambria" w:hAnsi="Cambria" w:cs="Times New Roman"/>
          <w:i/>
          <w:noProof/>
          <w:sz w:val="22"/>
        </w:rPr>
        <w:t>et al.</w:t>
      </w:r>
      <w:r w:rsidR="00280FE1" w:rsidRPr="00C5133C">
        <w:rPr>
          <w:rFonts w:ascii="Cambria" w:hAnsi="Cambria" w:cs="Times New Roman"/>
          <w:noProof/>
          <w:sz w:val="22"/>
        </w:rPr>
        <w:t xml:space="preserve"> </w:t>
      </w:r>
      <w:r w:rsidR="00280FE1" w:rsidRPr="00C5133C">
        <w:rPr>
          <w:rFonts w:ascii="Cambria" w:hAnsi="Cambria" w:cs="Times New Roman"/>
          <w:noProof/>
          <w:sz w:val="22"/>
          <w:lang w:val="en-US"/>
        </w:rPr>
        <w:t>(</w:t>
      </w:r>
      <w:r w:rsidR="00280FE1" w:rsidRPr="00C5133C">
        <w:rPr>
          <w:rFonts w:ascii="Cambria" w:hAnsi="Cambria" w:cs="Times New Roman"/>
          <w:noProof/>
          <w:sz w:val="22"/>
        </w:rPr>
        <w:t>2009)</w:t>
      </w:r>
      <w:r w:rsidR="00280FE1" w:rsidRPr="00C5133C">
        <w:rPr>
          <w:rFonts w:ascii="Cambria" w:hAnsi="Cambria" w:cs="Times New Roman"/>
          <w:sz w:val="22"/>
        </w:rPr>
        <w:fldChar w:fldCharType="end"/>
      </w:r>
      <w:r w:rsidR="00280FE1" w:rsidRPr="00C5133C">
        <w:rPr>
          <w:rFonts w:ascii="Cambria" w:hAnsi="Cambria" w:cs="Times New Roman"/>
          <w:sz w:val="22"/>
        </w:rPr>
        <w:t xml:space="preserve"> menyatakan bahwa penghindaran pajak dianggap sebagai upaya untuk mengurangi pajak melalui </w:t>
      </w:r>
      <w:r w:rsidR="00280FE1" w:rsidRPr="00C5133C">
        <w:rPr>
          <w:rFonts w:ascii="Cambria" w:hAnsi="Cambria" w:cs="Times New Roman"/>
          <w:i/>
          <w:sz w:val="22"/>
        </w:rPr>
        <w:t>tax planning</w:t>
      </w:r>
      <w:r w:rsidR="00280FE1" w:rsidRPr="00C5133C">
        <w:rPr>
          <w:rFonts w:ascii="Cambria" w:hAnsi="Cambria" w:cs="Times New Roman"/>
          <w:sz w:val="22"/>
        </w:rPr>
        <w:t xml:space="preserve">, baik </w:t>
      </w:r>
      <w:r w:rsidR="00280FE1" w:rsidRPr="00C5133C">
        <w:rPr>
          <w:rFonts w:ascii="Cambria" w:hAnsi="Cambria" w:cs="Times New Roman"/>
          <w:sz w:val="22"/>
          <w:lang w:val="en-US"/>
        </w:rPr>
        <w:t xml:space="preserve">melalui cara-cara </w:t>
      </w:r>
      <w:r w:rsidR="00280FE1" w:rsidRPr="00C5133C">
        <w:rPr>
          <w:rFonts w:ascii="Cambria" w:hAnsi="Cambria" w:cs="Times New Roman"/>
          <w:sz w:val="22"/>
        </w:rPr>
        <w:t>legal (</w:t>
      </w:r>
      <w:r w:rsidR="00280FE1" w:rsidRPr="00C5133C">
        <w:rPr>
          <w:rFonts w:ascii="Cambria" w:hAnsi="Cambria" w:cs="Times New Roman"/>
          <w:i/>
          <w:sz w:val="22"/>
          <w:lang w:val="en-US"/>
        </w:rPr>
        <w:t xml:space="preserve">tax </w:t>
      </w:r>
      <w:r w:rsidR="00280FE1" w:rsidRPr="00C5133C">
        <w:rPr>
          <w:rFonts w:ascii="Cambria" w:hAnsi="Cambria" w:cs="Times New Roman"/>
          <w:i/>
          <w:sz w:val="22"/>
        </w:rPr>
        <w:t>avoidance</w:t>
      </w:r>
      <w:r w:rsidR="00280FE1" w:rsidRPr="00C5133C">
        <w:rPr>
          <w:rFonts w:ascii="Cambria" w:hAnsi="Cambria" w:cs="Times New Roman"/>
          <w:sz w:val="22"/>
        </w:rPr>
        <w:t>) maupun ilegal (</w:t>
      </w:r>
      <w:r w:rsidR="00280FE1" w:rsidRPr="00C5133C">
        <w:rPr>
          <w:rFonts w:ascii="Cambria" w:hAnsi="Cambria" w:cs="Times New Roman"/>
          <w:i/>
          <w:sz w:val="22"/>
          <w:lang w:val="en-US"/>
        </w:rPr>
        <w:t xml:space="preserve">tax </w:t>
      </w:r>
      <w:r w:rsidR="00280FE1" w:rsidRPr="00C5133C">
        <w:rPr>
          <w:rFonts w:ascii="Cambria" w:hAnsi="Cambria" w:cs="Times New Roman"/>
          <w:i/>
          <w:sz w:val="22"/>
        </w:rPr>
        <w:t>evasion</w:t>
      </w:r>
      <w:r w:rsidR="00280FE1" w:rsidRPr="00C5133C">
        <w:rPr>
          <w:rFonts w:ascii="Cambria" w:hAnsi="Cambria" w:cs="Times New Roman"/>
          <w:sz w:val="22"/>
        </w:rPr>
        <w:t xml:space="preserve">). Perusahaan </w:t>
      </w:r>
      <w:r w:rsidR="00280FE1" w:rsidRPr="00C5133C">
        <w:rPr>
          <w:rFonts w:ascii="Cambria" w:hAnsi="Cambria" w:cs="Times New Roman"/>
          <w:sz w:val="22"/>
          <w:lang w:val="en-US"/>
        </w:rPr>
        <w:t>memandang</w:t>
      </w:r>
      <w:r w:rsidR="00280FE1" w:rsidRPr="00C5133C">
        <w:rPr>
          <w:rFonts w:ascii="Cambria" w:hAnsi="Cambria" w:cs="Times New Roman"/>
          <w:sz w:val="22"/>
        </w:rPr>
        <w:t xml:space="preserve"> pajak sebagai tambahan biaya yang </w:t>
      </w:r>
      <w:r w:rsidR="00280FE1" w:rsidRPr="00C5133C">
        <w:rPr>
          <w:rFonts w:ascii="Cambria" w:hAnsi="Cambria" w:cs="Times New Roman"/>
          <w:sz w:val="22"/>
          <w:lang w:val="en-US"/>
        </w:rPr>
        <w:t xml:space="preserve">memiliki potensi </w:t>
      </w:r>
      <w:r w:rsidR="00280FE1" w:rsidRPr="00C5133C">
        <w:rPr>
          <w:rFonts w:ascii="Cambria" w:hAnsi="Cambria" w:cs="Times New Roman"/>
          <w:sz w:val="22"/>
        </w:rPr>
        <w:t xml:space="preserve">mengurangi keuntungan perusahaan, karena </w:t>
      </w:r>
      <w:r w:rsidR="00280FE1" w:rsidRPr="00C5133C">
        <w:rPr>
          <w:rFonts w:ascii="Cambria" w:hAnsi="Cambria" w:cs="Times New Roman"/>
          <w:sz w:val="22"/>
          <w:lang w:val="en-US"/>
        </w:rPr>
        <w:t>itu</w:t>
      </w:r>
      <w:r w:rsidR="00280FE1" w:rsidRPr="00C5133C">
        <w:rPr>
          <w:rFonts w:ascii="Cambria" w:hAnsi="Cambria" w:cs="Times New Roman"/>
          <w:sz w:val="22"/>
        </w:rPr>
        <w:t xml:space="preserve"> perusahaan diperkirakan akan</w:t>
      </w:r>
      <w:r w:rsidR="00280FE1" w:rsidRPr="00C5133C">
        <w:rPr>
          <w:rFonts w:ascii="Cambria" w:hAnsi="Cambria" w:cs="Times New Roman"/>
          <w:sz w:val="22"/>
          <w:lang w:val="en-US"/>
        </w:rPr>
        <w:t xml:space="preserve"> berusaha</w:t>
      </w:r>
      <w:r w:rsidR="00280FE1" w:rsidRPr="00C5133C">
        <w:rPr>
          <w:rFonts w:ascii="Cambria" w:hAnsi="Cambria" w:cs="Times New Roman"/>
          <w:sz w:val="22"/>
        </w:rPr>
        <w:t xml:space="preserve"> menghindari pajak, sehingga tidak mengurangi laba </w:t>
      </w:r>
      <w:r w:rsidR="00280FE1" w:rsidRPr="00C5133C">
        <w:rPr>
          <w:rFonts w:ascii="Cambria" w:hAnsi="Cambria" w:cs="Times New Roman"/>
          <w:sz w:val="22"/>
          <w:lang w:val="en-US"/>
        </w:rPr>
        <w:t xml:space="preserve">yang diperoleh </w:t>
      </w:r>
      <w:r w:rsidR="00280FE1" w:rsidRPr="00C5133C">
        <w:rPr>
          <w:rFonts w:ascii="Cambria" w:hAnsi="Cambria" w:cs="Times New Roman"/>
          <w:sz w:val="22"/>
        </w:rPr>
        <w:t xml:space="preserve">perusahaan. </w:t>
      </w:r>
      <w:r w:rsidRPr="00C5133C">
        <w:rPr>
          <w:rFonts w:ascii="Cambria" w:hAnsi="Cambria" w:cs="Times New Roman"/>
          <w:sz w:val="22"/>
          <w:lang w:val="en-US"/>
        </w:rPr>
        <w:t>Ditambah lagi, tidak semua tindakan penghindaran pajak masuk dalam kategori tindakan ilegal, walaupun tindakan ini menyalahi pri</w:t>
      </w:r>
      <w:r w:rsidR="006D66D8">
        <w:rPr>
          <w:rFonts w:ascii="Cambria" w:hAnsi="Cambria" w:cs="Times New Roman"/>
          <w:sz w:val="22"/>
          <w:lang w:val="en-US"/>
        </w:rPr>
        <w:t>n</w:t>
      </w:r>
      <w:r w:rsidRPr="00C5133C">
        <w:rPr>
          <w:rFonts w:ascii="Cambria" w:hAnsi="Cambria" w:cs="Times New Roman"/>
          <w:sz w:val="22"/>
          <w:lang w:val="en-US"/>
        </w:rPr>
        <w:t>sip etis karena tindakan penghindaran pajak akan berdampak pada berkurangnya penerimaan negara. Adanya potensi ini menyebabkan isu-isu terkait penghindaran pajak menjadi isu penting yang harus dihadapi oleh DJP dalam usahanya menghimpun pajak negara.</w:t>
      </w:r>
    </w:p>
    <w:p w14:paraId="6CA77027" w14:textId="0DDBFDCF" w:rsidR="00C374C8" w:rsidRPr="00C5133C" w:rsidRDefault="00C374C8" w:rsidP="00C5133C">
      <w:pPr>
        <w:spacing w:line="276" w:lineRule="auto"/>
        <w:rPr>
          <w:rFonts w:ascii="Cambria" w:hAnsi="Cambria" w:cs="Times New Roman"/>
          <w:sz w:val="22"/>
          <w:lang w:val="en-US"/>
        </w:rPr>
      </w:pPr>
      <w:r w:rsidRPr="00C5133C">
        <w:rPr>
          <w:rFonts w:ascii="Cambria" w:hAnsi="Cambria" w:cs="Times New Roman"/>
          <w:sz w:val="22"/>
          <w:lang w:val="en-US"/>
        </w:rPr>
        <w:lastRenderedPageBreak/>
        <w:t>Permasalahan penghindaran pajak telah menjadi masalah yang semakin rumit dan unik semenjak diterapkannya pri</w:t>
      </w:r>
      <w:r w:rsidR="006D66D8">
        <w:rPr>
          <w:rFonts w:ascii="Cambria" w:hAnsi="Cambria" w:cs="Times New Roman"/>
          <w:sz w:val="22"/>
          <w:lang w:val="en-US"/>
        </w:rPr>
        <w:t>n</w:t>
      </w:r>
      <w:r w:rsidRPr="00C5133C">
        <w:rPr>
          <w:rFonts w:ascii="Cambria" w:hAnsi="Cambria" w:cs="Times New Roman"/>
          <w:sz w:val="22"/>
          <w:lang w:val="en-US"/>
        </w:rPr>
        <w:t xml:space="preserve">sip </w:t>
      </w:r>
      <w:r w:rsidRPr="00C5133C">
        <w:rPr>
          <w:rFonts w:ascii="Cambria" w:hAnsi="Cambria" w:cs="Times New Roman"/>
          <w:i/>
          <w:sz w:val="22"/>
          <w:lang w:val="en-US"/>
        </w:rPr>
        <w:t>self assessment</w:t>
      </w:r>
      <w:r w:rsidRPr="00C5133C">
        <w:rPr>
          <w:rFonts w:ascii="Cambria" w:hAnsi="Cambria" w:cs="Times New Roman"/>
          <w:sz w:val="22"/>
          <w:lang w:val="en-US"/>
        </w:rPr>
        <w:t xml:space="preserve"> sesuai dengan amanat reformasi perpajakan yang tertuang dalam Undang-Undang no 7 tahun 1983 tentang Pajak Penghasilan. Keleluasaan yang diberikan kepada wajib pajak untuk secara mandiri melakukan perhitungan, penyetoran dan pelaporan kewajiban perpajakannya menyebabkan wajib pajak dapat melakukan aktivitas manajemen perpajakan untuk meminimalkan pembayaran pajak melalui teknik-teknik penghi</w:t>
      </w:r>
      <w:r w:rsidR="006D66D8">
        <w:rPr>
          <w:rFonts w:ascii="Cambria" w:hAnsi="Cambria" w:cs="Times New Roman"/>
          <w:sz w:val="22"/>
          <w:lang w:val="en-US"/>
        </w:rPr>
        <w:t>n</w:t>
      </w:r>
      <w:r w:rsidRPr="00C5133C">
        <w:rPr>
          <w:rFonts w:ascii="Cambria" w:hAnsi="Cambria" w:cs="Times New Roman"/>
          <w:sz w:val="22"/>
          <w:lang w:val="en-US"/>
        </w:rPr>
        <w:t xml:space="preserve">daran pajak yang tidak bertentangan dengan aturan yang berlaku, namun tidak diinginkan oleh Pemerintah/DJP </w:t>
      </w:r>
      <w:r w:rsidRPr="00C5133C">
        <w:rPr>
          <w:rFonts w:ascii="Cambria" w:hAnsi="Cambria" w:cs="Times New Roman"/>
          <w:sz w:val="22"/>
          <w:lang w:val="en-US"/>
        </w:rPr>
        <w:fldChar w:fldCharType="begin" w:fldLock="1"/>
      </w:r>
      <w:r w:rsidRPr="00C5133C">
        <w:rPr>
          <w:rFonts w:ascii="Cambria" w:hAnsi="Cambria" w:cs="Times New Roman"/>
          <w:sz w:val="22"/>
          <w:lang w:val="en-US"/>
        </w:rPr>
        <w:instrText>ADDIN CSL_CITATION {"citationItems":[{"id":"ITEM-1","itemData":{"abstract":"The purpose of this study was to determine the effect of the audit committee, the proportion of independent directors, and the proportion of institutional ownership against tax avoidance and firm size as a control variable. In this study, tax avoidance is measured using the effective cash tax rate (CETR) companies are paying taxes divided by income before income taxes. Samples consist of manufacturing companies listed in Indonesia Stock Exchange (BEI) in the period from 2012 to 2014 totaling 44 companies. This study uses nonprobability sampling using purposive sampling technique. The analysis technique used is multiple linear regression analysis. Research results indicate that the audit committee and the proportion of independent commissioners negatively affect tax avoidance, the proportion of institutional ownership has no effect on tax avoidance, and firm size as a control variable positive effect on tax avoidance.  ","author":[{"dropping-particle":"","family":"Diantari","given":"Putu Rista","non-dropping-particle":"","parse-names":false,"suffix":""},{"dropping-particle":"","family":"Ulupui","given":"I G K Agung","non-dropping-particle":"","parse-names":false,"suffix":""}],"container-title":"E-Jurnal Akuntansi; Vol 16 No 1 (2016)","id":"ITEM-1","issued":{"date-parts":[["2016","7","10"]]},"title":"PENGARUH  KOMITE AUDIT, PROPORSI KOMISARIS INDEPENDEN, DAN PROPORSI KEPEMILIKAN INSTITUSIONAL TERHADAP TAX AVOIDANCE","type":"article-journal"},"uris":["http://www.mendeley.com/documents/?uuid=bbe80945-8d97-432f-8ea8-5ce601d05c52"]}],"mendeley":{"formattedCitation":"(Diantari &amp; Ulupui, 2016)","plainTextFormattedCitation":"(Diantari &amp; Ulupui, 2016)","previouslyFormattedCitation":"(Diantari &amp; Ulupui, 2016)"},"properties":{"noteIndex":0},"schema":"https://github.com/citation-style-language/schema/raw/master/csl-citation.json"}</w:instrText>
      </w:r>
      <w:r w:rsidRPr="00C5133C">
        <w:rPr>
          <w:rFonts w:ascii="Cambria" w:hAnsi="Cambria" w:cs="Times New Roman"/>
          <w:sz w:val="22"/>
          <w:lang w:val="en-US"/>
        </w:rPr>
        <w:fldChar w:fldCharType="separate"/>
      </w:r>
      <w:r w:rsidRPr="00C5133C">
        <w:rPr>
          <w:rFonts w:ascii="Cambria" w:hAnsi="Cambria" w:cs="Times New Roman"/>
          <w:noProof/>
          <w:sz w:val="22"/>
          <w:lang w:val="en-US"/>
        </w:rPr>
        <w:t>(Diantari &amp; Ulupui, 2016)</w:t>
      </w:r>
      <w:r w:rsidRPr="00C5133C">
        <w:rPr>
          <w:rFonts w:ascii="Cambria" w:hAnsi="Cambria" w:cs="Times New Roman"/>
          <w:sz w:val="22"/>
          <w:lang w:val="en-US"/>
        </w:rPr>
        <w:fldChar w:fldCharType="end"/>
      </w:r>
    </w:p>
    <w:p w14:paraId="6E868539" w14:textId="07A726D5" w:rsidR="00C374C8" w:rsidRPr="00C5133C" w:rsidRDefault="009D024B" w:rsidP="00C5133C">
      <w:pPr>
        <w:spacing w:line="276" w:lineRule="auto"/>
        <w:rPr>
          <w:rFonts w:ascii="Cambria" w:hAnsi="Cambria" w:cs="Times New Roman"/>
          <w:sz w:val="22"/>
          <w:lang w:val="en-US"/>
        </w:rPr>
      </w:pPr>
      <w:r w:rsidRPr="00C5133C">
        <w:rPr>
          <w:rFonts w:ascii="Cambria" w:hAnsi="Cambria" w:cs="Times New Roman"/>
          <w:sz w:val="22"/>
          <w:lang w:val="en-US"/>
        </w:rPr>
        <w:t>Instrume</w:t>
      </w:r>
      <w:r w:rsidR="00C374C8" w:rsidRPr="00C5133C">
        <w:rPr>
          <w:rFonts w:ascii="Cambria" w:hAnsi="Cambria" w:cs="Times New Roman"/>
          <w:sz w:val="22"/>
          <w:lang w:val="en-US"/>
        </w:rPr>
        <w:t>n utang dan biaya merupakan alat yang banyak digunakan untuk mela</w:t>
      </w:r>
      <w:r w:rsidR="006D66D8">
        <w:rPr>
          <w:rFonts w:ascii="Cambria" w:hAnsi="Cambria" w:cs="Times New Roman"/>
          <w:sz w:val="22"/>
          <w:lang w:val="en-US"/>
        </w:rPr>
        <w:t>k</w:t>
      </w:r>
      <w:r w:rsidR="00C374C8" w:rsidRPr="00C5133C">
        <w:rPr>
          <w:rFonts w:ascii="Cambria" w:hAnsi="Cambria" w:cs="Times New Roman"/>
          <w:sz w:val="22"/>
          <w:lang w:val="en-US"/>
        </w:rPr>
        <w:t xml:space="preserve">ukan penghindaran pajak. Hal tersebut dapat diketahui dengan mengkaji penghitungan </w:t>
      </w:r>
      <w:r w:rsidR="00FA0990" w:rsidRPr="00C5133C">
        <w:rPr>
          <w:rFonts w:ascii="Cambria" w:hAnsi="Cambria" w:cs="Times New Roman"/>
          <w:i/>
          <w:sz w:val="22"/>
          <w:lang w:val="en-US"/>
        </w:rPr>
        <w:t>leverage</w:t>
      </w:r>
      <w:r w:rsidR="00C374C8" w:rsidRPr="00C5133C">
        <w:rPr>
          <w:rFonts w:ascii="Cambria" w:hAnsi="Cambria" w:cs="Times New Roman"/>
          <w:sz w:val="22"/>
          <w:lang w:val="en-US"/>
        </w:rPr>
        <w:t xml:space="preserve"> dan manajemen laba (</w:t>
      </w:r>
      <w:r w:rsidR="00C374C8" w:rsidRPr="00C5133C">
        <w:rPr>
          <w:rFonts w:ascii="Cambria" w:hAnsi="Cambria" w:cs="Times New Roman"/>
          <w:sz w:val="22"/>
          <w:lang w:val="en-US"/>
        </w:rPr>
        <w:fldChar w:fldCharType="begin" w:fldLock="1"/>
      </w:r>
      <w:r w:rsidR="00C374C8" w:rsidRPr="00C5133C">
        <w:rPr>
          <w:rFonts w:ascii="Cambria" w:hAnsi="Cambria" w:cs="Times New Roman"/>
          <w:sz w:val="22"/>
          <w:lang w:val="en-US"/>
        </w:rPr>
        <w:instrText>ADDIN CSL_CITATION {"citationItems":[{"id":"ITEM-1","itemData":{"DOI":"10.32493/keberlanjutan.v2i1.y2017.p431-459","ISSN":"2528-5599","abstract":"AbstractThis research is aimed to provide empirical evident about relationship between leverage, loss carry forward and earnings management on tax avoidance. Using purposive sampling this research selected 264 firms that are listed in Indonesian Stock Exchange from 2013-2015 as samples. The result of multiple regression of panel data shows that there is significant relationship between leverage and earnings management on tax avoidance. Meanwhile, loss carry forward shows no significant relationship on tax avoidance. Keywords: leverage, loss carry forward, earnings management, tax avoidance","author":[{"dropping-particle":"","family":"Pajriyansyah","given":"Ridwan -","non-dropping-particle":"","parse-names":false,"suffix":""},{"dropping-particle":"","family":"Firmansyah","given":"Amrie -","non-dropping-particle":"","parse-names":false,"suffix":""}],"container-title":"Keberlanjutan","id":"ITEM-1","issue":"1","issued":{"date-parts":[["2017"]]},"page":"431","title":"Pengaruh Leverage, Kompensasi Rugi Fiskal Dan Manajemen Laba Terhadap Penghindaran Pajak","type":"article-journal","volume":"2"},"uris":["http://www.mendeley.com/documents/?uuid=79dde6cf-71c5-4f7f-8af3-6f1db3e66d65"]}],"mendeley":{"formattedCitation":"(Pajriyansyah &amp; Firmansyah, 2017)","manualFormatting":"Pajriyansyah &amp; Firmansyah, 2017)","plainTextFormattedCitation":"(Pajriyansyah &amp; Firmansyah, 2017)","previouslyFormattedCitation":"(Pajriyansyah &amp; Firmansyah, 2017)"},"properties":{"noteIndex":0},"schema":"https://github.com/citation-style-language/schema/raw/master/csl-citation.json"}</w:instrText>
      </w:r>
      <w:r w:rsidR="00C374C8" w:rsidRPr="00C5133C">
        <w:rPr>
          <w:rFonts w:ascii="Cambria" w:hAnsi="Cambria" w:cs="Times New Roman"/>
          <w:sz w:val="22"/>
          <w:lang w:val="en-US"/>
        </w:rPr>
        <w:fldChar w:fldCharType="separate"/>
      </w:r>
      <w:r w:rsidR="00C374C8" w:rsidRPr="00C5133C">
        <w:rPr>
          <w:rFonts w:ascii="Cambria" w:hAnsi="Cambria" w:cs="Times New Roman"/>
          <w:noProof/>
          <w:sz w:val="22"/>
          <w:lang w:val="en-US"/>
        </w:rPr>
        <w:t>Pajriyansyah &amp; Firmansyah, 2017)</w:t>
      </w:r>
      <w:r w:rsidR="00C374C8" w:rsidRPr="00C5133C">
        <w:rPr>
          <w:rFonts w:ascii="Cambria" w:hAnsi="Cambria" w:cs="Times New Roman"/>
          <w:sz w:val="22"/>
          <w:lang w:val="en-US"/>
        </w:rPr>
        <w:fldChar w:fldCharType="end"/>
      </w:r>
      <w:r w:rsidR="00C374C8" w:rsidRPr="00C5133C">
        <w:rPr>
          <w:rFonts w:ascii="Cambria" w:hAnsi="Cambria" w:cs="Times New Roman"/>
          <w:sz w:val="22"/>
          <w:lang w:val="en-US"/>
        </w:rPr>
        <w:t>. Pada umumnya pemegang saham (</w:t>
      </w:r>
      <w:r w:rsidR="00C374C8" w:rsidRPr="00C5133C">
        <w:rPr>
          <w:rFonts w:ascii="Cambria" w:hAnsi="Cambria" w:cs="Times New Roman"/>
          <w:i/>
          <w:sz w:val="22"/>
          <w:lang w:val="en-US"/>
        </w:rPr>
        <w:t>principal</w:t>
      </w:r>
      <w:r w:rsidR="00C374C8" w:rsidRPr="00C5133C">
        <w:rPr>
          <w:rFonts w:ascii="Cambria" w:hAnsi="Cambria" w:cs="Times New Roman"/>
          <w:sz w:val="22"/>
          <w:lang w:val="en-US"/>
        </w:rPr>
        <w:t>) mengharapkan manajemen (</w:t>
      </w:r>
      <w:r w:rsidR="00C374C8" w:rsidRPr="00C5133C">
        <w:rPr>
          <w:rFonts w:ascii="Cambria" w:hAnsi="Cambria" w:cs="Times New Roman"/>
          <w:i/>
          <w:sz w:val="22"/>
          <w:lang w:val="en-US"/>
        </w:rPr>
        <w:t>agent</w:t>
      </w:r>
      <w:r w:rsidR="00C374C8" w:rsidRPr="00C5133C">
        <w:rPr>
          <w:rFonts w:ascii="Cambria" w:hAnsi="Cambria" w:cs="Times New Roman"/>
          <w:sz w:val="22"/>
          <w:lang w:val="en-US"/>
        </w:rPr>
        <w:t>) untuk fokus memaksimalkan kekayaan pemegang saham, termasuk dengan cara mengecilkan kewajiban pajak melal</w:t>
      </w:r>
      <w:r w:rsidR="00C20459" w:rsidRPr="00C5133C">
        <w:rPr>
          <w:rFonts w:ascii="Cambria" w:hAnsi="Cambria" w:cs="Times New Roman"/>
          <w:sz w:val="22"/>
          <w:lang w:val="en-US"/>
        </w:rPr>
        <w:t>u</w:t>
      </w:r>
      <w:r w:rsidR="00C374C8" w:rsidRPr="00C5133C">
        <w:rPr>
          <w:rFonts w:ascii="Cambria" w:hAnsi="Cambria" w:cs="Times New Roman"/>
          <w:sz w:val="22"/>
          <w:lang w:val="en-US"/>
        </w:rPr>
        <w:t xml:space="preserve">i manajemen laba, selama keuntungan yang dihasilkan melebihi biaya-biaya yang dikeluarkan </w:t>
      </w:r>
      <w:r w:rsidR="00C374C8" w:rsidRPr="00C5133C">
        <w:rPr>
          <w:rFonts w:ascii="Cambria" w:hAnsi="Cambria" w:cs="Times New Roman"/>
          <w:sz w:val="22"/>
          <w:lang w:val="en-US"/>
        </w:rPr>
        <w:fldChar w:fldCharType="begin" w:fldLock="1"/>
      </w:r>
      <w:r w:rsidR="00C374C8" w:rsidRPr="00C5133C">
        <w:rPr>
          <w:rFonts w:ascii="Cambria" w:hAnsi="Cambria" w:cs="Times New Roman"/>
          <w:sz w:val="22"/>
          <w:lang w:val="en-US"/>
        </w:rPr>
        <w:instrText>ADDIN CSL_CITATION {"citationItems":[{"id":"ITEM-1","itemData":{"ISSN":"09729380","abstract":"The aim of this study is to determine whether tax avoidance can be used as an instrument for companies doing earnings management in Indonesia. The study also investigates the role of corporate governance mechanism in influencing the relation between tax avoidance and earnings management. The research proved that the manufacturing company in Indonesia applies tax avoidance in earning management. These results also showed that among the three indicators of the corporate governance mechanism used only institutional ownership is capable of reducing the effect of tax avoidance on earnings management; while, the board of commissioners and the independent commissioner are not.","author":[{"dropping-particle":"","family":"Putri","given":"Anne","non-dropping-particle":"","parse-names":false,"suffix":""},{"dropping-particle":"","family":"Rohman","given":"Abdul","non-dropping-particle":"","parse-names":false,"suffix":""},{"dropping-particle":"","family":"Chariri","given":"Anis","non-dropping-particle":"","parse-names":false,"suffix":""}],"container-title":"International Journal of Economic Research","id":"ITEM-1","issue":"4","issued":{"date-parts":[["2016"]]},"page":"1931-1943","title":"Tax avoidance, earnings management, and corporate governance mechanism (an evidence from Indonesia)","type":"article-journal","volume":"13"},"uris":["http://www.mendeley.com/documents/?uuid=f4cfc2ac-f0b3-4ec1-ac51-5f3bb80de490"]}],"mendeley":{"formattedCitation":"(A. Putri et al., 2016)","manualFormatting":"(A. Putri et al. 2016)","plainTextFormattedCitation":"(A. Putri et al., 2016)","previouslyFormattedCitation":"(A. Putri et al., 2016)"},"properties":{"noteIndex":0},"schema":"https://github.com/citation-style-language/schema/raw/master/csl-citation.json"}</w:instrText>
      </w:r>
      <w:r w:rsidR="00C374C8" w:rsidRPr="00C5133C">
        <w:rPr>
          <w:rFonts w:ascii="Cambria" w:hAnsi="Cambria" w:cs="Times New Roman"/>
          <w:sz w:val="22"/>
          <w:lang w:val="en-US"/>
        </w:rPr>
        <w:fldChar w:fldCharType="separate"/>
      </w:r>
      <w:r w:rsidR="00C374C8" w:rsidRPr="00C5133C">
        <w:rPr>
          <w:rFonts w:ascii="Cambria" w:hAnsi="Cambria" w:cs="Times New Roman"/>
          <w:noProof/>
          <w:sz w:val="22"/>
          <w:lang w:val="en-US"/>
        </w:rPr>
        <w:t xml:space="preserve">(A. Putri </w:t>
      </w:r>
      <w:r w:rsidR="00BF2898" w:rsidRPr="00C5133C">
        <w:rPr>
          <w:rFonts w:ascii="Cambria" w:hAnsi="Cambria" w:cs="Times New Roman"/>
          <w:i/>
          <w:noProof/>
          <w:sz w:val="22"/>
          <w:lang w:val="en-US"/>
        </w:rPr>
        <w:t>et al.</w:t>
      </w:r>
      <w:r w:rsidR="00C374C8" w:rsidRPr="00C5133C">
        <w:rPr>
          <w:rFonts w:ascii="Cambria" w:hAnsi="Cambria" w:cs="Times New Roman"/>
          <w:noProof/>
          <w:sz w:val="22"/>
          <w:lang w:val="en-US"/>
        </w:rPr>
        <w:t xml:space="preserve"> 2016)</w:t>
      </w:r>
      <w:r w:rsidR="00C374C8" w:rsidRPr="00C5133C">
        <w:rPr>
          <w:rFonts w:ascii="Cambria" w:hAnsi="Cambria" w:cs="Times New Roman"/>
          <w:sz w:val="22"/>
          <w:lang w:val="en-US"/>
        </w:rPr>
        <w:fldChar w:fldCharType="end"/>
      </w:r>
      <w:r w:rsidR="00C374C8" w:rsidRPr="00C5133C">
        <w:rPr>
          <w:rFonts w:ascii="Cambria" w:hAnsi="Cambria" w:cs="Times New Roman"/>
          <w:sz w:val="22"/>
          <w:lang w:val="en-US"/>
        </w:rPr>
        <w:t xml:space="preserve">. </w:t>
      </w:r>
      <w:r w:rsidR="00C374C8" w:rsidRPr="00C5133C">
        <w:rPr>
          <w:rFonts w:ascii="Cambria" w:hAnsi="Cambria" w:cs="Times New Roman"/>
          <w:sz w:val="22"/>
          <w:lang w:val="en-US"/>
        </w:rPr>
        <w:fldChar w:fldCharType="begin" w:fldLock="1"/>
      </w:r>
      <w:r w:rsidR="00C374C8" w:rsidRPr="00C5133C">
        <w:rPr>
          <w:rFonts w:ascii="Cambria" w:hAnsi="Cambria" w:cs="Times New Roman"/>
          <w:sz w:val="22"/>
          <w:lang w:val="en-US"/>
        </w:rPr>
        <w:instrText>ADDIN CSL_CITATION {"citationItems":[{"id":"ITEM-1","itemData":{"ISSN":"00014826","abstract":"[We investigate the association between aggressive tax and financial reporting and find a strong, positive relation. Our results suggest that insufficient costs exist to offset financial and tax reporting incentives, such that nonconformity between financial accounting standards and tax law allows firms to manage book income upward and taxable income downward in the same reporting period. To examine the relation between these aggressive reporting behaviors, we develop a measure of tax reporting aggressiveness that statistically detects tax shelter activity at least as well as, and often better than, other measures. In supplemental stock returns analyses, we confirm that the market overprices finacial reporting aggressiveness. We also find that the market overprices tax reporting aggressiveness, but only for firms with the most aggressive finacial reporting.]","author":[{"dropping-particle":"","family":"Frank","given":"Mary Margaret","non-dropping-particle":"","parse-names":false,"suffix":""},{"dropping-particle":"","family":"Lynch","given":"Luann J","non-dropping-particle":"","parse-names":false,"suffix":""},{"dropping-particle":"","family":"Rego","given":"Sonja Olhoft","non-dropping-particle":"","parse-names":false,"suffix":""}],"container-title":"The Accounting Review","id":"ITEM-1","issue":"2","issued":{"date-parts":[["2009","9","15"]]},"page":"467-496","publisher":"American Accounting Association","title":"Tax Reporting Aggressiveness and Its Relation to Aggressive Financial Reporting","type":"article-journal","volume":"84"},"uris":["http://www.mendeley.com/documents/?uuid=286eced1-b939-4628-8ed7-41bd9d404bd9"]}],"mendeley":{"formattedCitation":"(Frank et al., 2009)","manualFormatting":"Frank et al., (2009)","plainTextFormattedCitation":"(Frank et al., 2009)","previouslyFormattedCitation":"(Frank et al., 2009)"},"properties":{"noteIndex":0},"schema":"https://github.com/citation-style-language/schema/raw/master/csl-citation.json"}</w:instrText>
      </w:r>
      <w:r w:rsidR="00C374C8" w:rsidRPr="00C5133C">
        <w:rPr>
          <w:rFonts w:ascii="Cambria" w:hAnsi="Cambria" w:cs="Times New Roman"/>
          <w:sz w:val="22"/>
          <w:lang w:val="en-US"/>
        </w:rPr>
        <w:fldChar w:fldCharType="separate"/>
      </w:r>
      <w:r w:rsidR="00C374C8" w:rsidRPr="00C5133C">
        <w:rPr>
          <w:rFonts w:ascii="Cambria" w:hAnsi="Cambria" w:cs="Times New Roman"/>
          <w:noProof/>
          <w:sz w:val="22"/>
          <w:lang w:val="en-US"/>
        </w:rPr>
        <w:t>Frank</w:t>
      </w:r>
      <w:r w:rsidR="00C374C8" w:rsidRPr="00C5133C">
        <w:rPr>
          <w:rFonts w:ascii="Cambria" w:hAnsi="Cambria" w:cs="Times New Roman"/>
          <w:i/>
          <w:noProof/>
          <w:sz w:val="22"/>
          <w:lang w:val="en-US"/>
        </w:rPr>
        <w:t xml:space="preserve"> </w:t>
      </w:r>
      <w:r w:rsidR="00BF2898" w:rsidRPr="00C5133C">
        <w:rPr>
          <w:rFonts w:ascii="Cambria" w:hAnsi="Cambria" w:cs="Times New Roman"/>
          <w:i/>
          <w:noProof/>
          <w:sz w:val="22"/>
          <w:lang w:val="en-US"/>
        </w:rPr>
        <w:t>et al.</w:t>
      </w:r>
      <w:r w:rsidR="00C374C8" w:rsidRPr="00C5133C">
        <w:rPr>
          <w:rFonts w:ascii="Cambria" w:hAnsi="Cambria" w:cs="Times New Roman"/>
          <w:noProof/>
          <w:sz w:val="22"/>
          <w:lang w:val="en-US"/>
        </w:rPr>
        <w:t>, (2009)</w:t>
      </w:r>
      <w:r w:rsidR="00C374C8" w:rsidRPr="00C5133C">
        <w:rPr>
          <w:rFonts w:ascii="Cambria" w:hAnsi="Cambria" w:cs="Times New Roman"/>
          <w:sz w:val="22"/>
          <w:lang w:val="en-US"/>
        </w:rPr>
        <w:fldChar w:fldCharType="end"/>
      </w:r>
      <w:r w:rsidR="00C374C8" w:rsidRPr="00C5133C">
        <w:rPr>
          <w:rFonts w:ascii="Cambria" w:hAnsi="Cambria" w:cs="Times New Roman"/>
          <w:sz w:val="22"/>
          <w:lang w:val="en-US"/>
        </w:rPr>
        <w:t xml:space="preserve"> menyatakan bahwa perusahaan dapat melakukan manajemen laba untuk keperluan akuntansi maupun keperluan perpajakan, dimana perusahaan akan berusaha untuk meningkatkatkan laba untuk dilaporkan kepada pemegang saham. Sebaliknya, perusahaan akan berusaha menurunkan pendapatan kena pajak jika berurusan dengan otoritas pajak. Ada dua </w:t>
      </w:r>
      <w:r w:rsidR="00FA0990" w:rsidRPr="00C5133C">
        <w:rPr>
          <w:rFonts w:ascii="Cambria" w:hAnsi="Cambria" w:cs="Times New Roman"/>
          <w:sz w:val="22"/>
          <w:lang w:val="en-US"/>
        </w:rPr>
        <w:t>praktik</w:t>
      </w:r>
      <w:r w:rsidR="00C374C8" w:rsidRPr="00C5133C">
        <w:rPr>
          <w:rFonts w:ascii="Cambria" w:hAnsi="Cambria" w:cs="Times New Roman"/>
          <w:sz w:val="22"/>
          <w:lang w:val="en-US"/>
        </w:rPr>
        <w:t xml:space="preserve"> manajemen laba yang dapat dijalankan oleh perusahaan, yaitu manajemen laba akrual dan manajemen laba melalui aktivitas </w:t>
      </w:r>
      <w:r w:rsidR="00BF2898" w:rsidRPr="00C5133C">
        <w:rPr>
          <w:rFonts w:ascii="Cambria" w:hAnsi="Cambria" w:cs="Times New Roman"/>
          <w:i/>
          <w:sz w:val="22"/>
          <w:lang w:val="en-US"/>
        </w:rPr>
        <w:t>real</w:t>
      </w:r>
      <w:r w:rsidR="00C374C8" w:rsidRPr="00C5133C">
        <w:rPr>
          <w:rFonts w:ascii="Cambria" w:hAnsi="Cambria" w:cs="Times New Roman"/>
          <w:sz w:val="22"/>
          <w:lang w:val="en-US"/>
        </w:rPr>
        <w:t>.</w:t>
      </w:r>
    </w:p>
    <w:p w14:paraId="69936DC0" w14:textId="32896537" w:rsidR="00193E1D" w:rsidRPr="00C5133C" w:rsidRDefault="00193E1D" w:rsidP="00C5133C">
      <w:pPr>
        <w:spacing w:line="276" w:lineRule="auto"/>
        <w:rPr>
          <w:rFonts w:ascii="Cambria" w:hAnsi="Cambria"/>
          <w:sz w:val="22"/>
          <w:lang w:val="en-US"/>
        </w:rPr>
      </w:pPr>
      <w:r w:rsidRPr="00C5133C">
        <w:rPr>
          <w:rFonts w:ascii="Cambria" w:hAnsi="Cambria"/>
          <w:sz w:val="22"/>
        </w:rPr>
        <w:t>Man</w:t>
      </w:r>
      <w:r w:rsidR="006D66D8">
        <w:rPr>
          <w:rFonts w:ascii="Cambria" w:hAnsi="Cambria"/>
          <w:sz w:val="22"/>
        </w:rPr>
        <w:t>a</w:t>
      </w:r>
      <w:r w:rsidRPr="00C5133C">
        <w:rPr>
          <w:rFonts w:ascii="Cambria" w:hAnsi="Cambria"/>
          <w:sz w:val="22"/>
        </w:rPr>
        <w:t xml:space="preserve">jemen laba adalah metode yang digunakan oleh manajemen untuk mempengaruhi jumlah laba secara sengaja dan sistematis dengan memilih prosedur dan kebijakan akuntansi tertentu sehingga mereka dapat memaksimalkan keuntungan dan atau nilai dari perusahaan </w:t>
      </w:r>
      <w:r w:rsidRPr="00320D08">
        <w:rPr>
          <w:rFonts w:ascii="Cambria" w:hAnsi="Cambria"/>
          <w:sz w:val="22"/>
        </w:rPr>
        <w:t>(Scott, 2015).</w:t>
      </w:r>
      <w:r w:rsidRPr="00C5133C">
        <w:rPr>
          <w:rFonts w:ascii="Cambria" w:hAnsi="Cambria"/>
          <w:sz w:val="22"/>
        </w:rPr>
        <w:t xml:space="preserve"> Terdapat teknik-teknik pengelolaan laba yang telah menjadi topik pembahasan dalam berbagai penelitian. </w:t>
      </w:r>
      <w:r w:rsidRPr="00C5133C">
        <w:rPr>
          <w:rFonts w:ascii="Cambria" w:hAnsi="Cambria"/>
          <w:sz w:val="22"/>
          <w:lang w:val="en-US"/>
        </w:rPr>
        <w:t xml:space="preserve">Teknik-teknik pengelolaan laba yang menjadi bahasan dalam penelitian sebelumnya antara lain  dengan memperbandingkan EPS dan ROI di antara dua kelompok perusahaan </w:t>
      </w:r>
      <w:r w:rsidRPr="00C5133C">
        <w:rPr>
          <w:rFonts w:ascii="Cambria" w:hAnsi="Cambria"/>
          <w:sz w:val="22"/>
          <w:lang w:val="en-US"/>
        </w:rPr>
        <w:fldChar w:fldCharType="begin" w:fldLock="1"/>
      </w:r>
      <w:r w:rsidRPr="00C5133C">
        <w:rPr>
          <w:rFonts w:ascii="Cambria" w:hAnsi="Cambria"/>
          <w:sz w:val="22"/>
          <w:lang w:val="en-US"/>
        </w:rPr>
        <w:instrText>ADDIN CSL_CITATION {"citationItems":[{"id":"ITEM-1","itemData":{"ISSN":"00014826","author":[{"dropping-particle":"","family":"Bremser","given":"Wayne G","non-dropping-particle":"","parse-names":false,"suffix":""}],"container-title":"The Accounting Review","id":"ITEM-1","issue":"3","issued":{"date-parts":[["1975","9","15"]]},"page":"563-573","publisher":"American Accounting Association","title":"The Earnings Characteristics of Firms Reporting Discretionary Accounting Changes","type":"article-journal","volume":"50"},"uris":["http://www.mendeley.com/documents/?uuid=4e6e754b-ba4b-49f2-84f8-d6b929bfc34e"]}],"mendeley":{"formattedCitation":"(Bremser, 1975)","plainTextFormattedCitation":"(Bremser, 1975)","previouslyFormattedCitation":"(Bremser, 1975)"},"properties":{"noteIndex":0},"schema":"https://github.com/citation-style-language/schema/raw/master/csl-citation.json"}</w:instrText>
      </w:r>
      <w:r w:rsidRPr="00C5133C">
        <w:rPr>
          <w:rFonts w:ascii="Cambria" w:hAnsi="Cambria"/>
          <w:sz w:val="22"/>
          <w:lang w:val="en-US"/>
        </w:rPr>
        <w:fldChar w:fldCharType="separate"/>
      </w:r>
      <w:r w:rsidRPr="00C5133C">
        <w:rPr>
          <w:rFonts w:ascii="Cambria" w:hAnsi="Cambria"/>
          <w:noProof/>
          <w:sz w:val="22"/>
          <w:lang w:val="en-US"/>
        </w:rPr>
        <w:t>(Bremser, 1975)</w:t>
      </w:r>
      <w:r w:rsidRPr="00C5133C">
        <w:rPr>
          <w:rFonts w:ascii="Cambria" w:hAnsi="Cambria"/>
          <w:sz w:val="22"/>
          <w:lang w:val="en-US"/>
        </w:rPr>
        <w:fldChar w:fldCharType="end"/>
      </w:r>
      <w:r w:rsidRPr="00C5133C">
        <w:rPr>
          <w:rFonts w:ascii="Cambria" w:hAnsi="Cambria"/>
          <w:sz w:val="22"/>
          <w:lang w:val="en-US"/>
        </w:rPr>
        <w:t xml:space="preserve">, teknik manajemen laba dengan metode akrual non diskresioner </w:t>
      </w:r>
      <w:r w:rsidRPr="00C5133C">
        <w:rPr>
          <w:rFonts w:ascii="Cambria" w:hAnsi="Cambria"/>
          <w:sz w:val="22"/>
          <w:lang w:val="en-US"/>
        </w:rPr>
        <w:fldChar w:fldCharType="begin" w:fldLock="1"/>
      </w:r>
      <w:r w:rsidRPr="00C5133C">
        <w:rPr>
          <w:rFonts w:ascii="Cambria" w:hAnsi="Cambria"/>
          <w:sz w:val="22"/>
          <w:lang w:val="en-US"/>
        </w:rPr>
        <w:instrText>ADDIN CSL_CITATION {"citationItems":[{"id":"ITEM-1","itemData":{"DOI":"10.1016/0165-4101(85)90029-1","ISSN":"01654101","abstract":"Studies examining managerial accounting decisions postulate that executives rewarded by earnings-based bonuses select accounting procedures that increase their compensation. The empirical results of these studies are conflicting. This paper analyzes the format of typical bonus contracts, providing a more complete characterization of their accounting incentive effects than earlier studies. The test results suggest that (1) accrual policies of managers are related to income-reporting incentives of their bonus contracts, and (2) changes in accounting procedures by managers are associated with adoption or modification of their bonus plan. © 1985.","author":[{"dropping-particle":"","family":"Healy","given":"Paul M.","non-dropping-particle":"","parse-names":false,"suffix":""}],"container-title":"Journal of Accounting and Economics","id":"ITEM-1","issue":"1-3","issued":{"date-parts":[["1985"]]},"page":"85-107","title":"The effect of bonus schemes on accounting decisions","type":"article-journal","volume":"7"},"uris":["http://www.mendeley.com/documents/?uuid=531dfe4c-ef05-4a06-beae-c6a560985d5a"]},{"id":"ITEM-2","itemData":{"DOI":"10.2307/2491047","ISSN":"00218456, 1475679X","author":[{"dropping-particle":"","family":"Jones","given":"Jennifer J","non-dropping-particle":"","parse-names":false,"suffix":""}],"container-title":"Journal of Accounting Research","id":"ITEM-2","issue":"2","issued":{"date-parts":[["1991","9","15"]]},"page":"193-228","publisher":"[Accounting Research Center, Booth School of Business, University of Chicago, Wiley]","title":"Earnings Management During Import Relief Investigations","type":"article-journal","volume":"29"},"uris":["http://www.mendeley.com/documents/?uuid=773e5482-02a8-4175-aa03-70fe12a45262"]},{"id":"ITEM-3","itemData":{"ISSN":"00014826","abstract":"[This paper evaluates alternative accrual-based models for detecting earnings management. The evaluation compares the specification and power of commonly used test statistics across the measures of discretionary accruals generated by the models and provides the following major insights. First, all of the models appear well specified when applied to a random sample of firm-years. Second, the models all generate tests of low power for earnings management of economically plausible magnitudes (e.g., one to five percent of total assets). Third, all models reject the null hypothesis of no earnings management at rates exceeding the specified test-levels when applied to samples of firms with extreme financial performance. This result highlights the importance of controlling for financial performance when investigating earnings management stimuli that are correlated with financial performance. Finally, a modified version of the model developed by Jones (1991) exhibits the most power in detecting earnings management.]","author":[{"dropping-particle":"","family":"Dechow","given":"Patricia M","non-dropping-particle":"","parse-names":false,"suffix":""},{"dropping-particle":"","family":"Sloan","given":"Richard G","non-dropping-particle":"","parse-names":false,"suffix":""},{"dropping-particle":"","family":"Sweeney","given":"Amy P","non-dropping-particle":"","parse-names":false,"suffix":""}],"container-title":"The Accounting Review","id":"ITEM-3","issue":"2","issued":{"date-parts":[["1995","9","15"]]},"page":"193-225","publisher":"American Accounting Association","title":"Detecting Earnings Management","type":"article-journal","volume":"70"},"uris":["http://www.mendeley.com/documents/?uuid=0e625a6f-e767-4eea-8caf-c79f04ea8b04"]}],"mendeley":{"formattedCitation":"(Dechow et al., 1995; Healy, 1985; Jones, 1991)","plainTextFormattedCitation":"(Dechow et al., 1995; Healy, 1985; Jones, 1991)","previouslyFormattedCitation":"(Dechow et al., 1995; Healy, 1985; Jones, 1991)"},"properties":{"noteIndex":0},"schema":"https://github.com/citation-style-language/schema/raw/master/csl-citation.json"}</w:instrText>
      </w:r>
      <w:r w:rsidRPr="00C5133C">
        <w:rPr>
          <w:rFonts w:ascii="Cambria" w:hAnsi="Cambria"/>
          <w:sz w:val="22"/>
          <w:lang w:val="en-US"/>
        </w:rPr>
        <w:fldChar w:fldCharType="separate"/>
      </w:r>
      <w:r w:rsidRPr="00C5133C">
        <w:rPr>
          <w:rFonts w:ascii="Cambria" w:hAnsi="Cambria"/>
          <w:noProof/>
          <w:sz w:val="22"/>
          <w:lang w:val="en-US"/>
        </w:rPr>
        <w:t xml:space="preserve">(Dechow </w:t>
      </w:r>
      <w:r w:rsidRPr="00C5133C">
        <w:rPr>
          <w:rFonts w:ascii="Cambria" w:hAnsi="Cambria"/>
          <w:i/>
          <w:noProof/>
          <w:sz w:val="22"/>
          <w:lang w:val="en-US"/>
        </w:rPr>
        <w:t>et al.</w:t>
      </w:r>
      <w:r w:rsidRPr="00C5133C">
        <w:rPr>
          <w:rFonts w:ascii="Cambria" w:hAnsi="Cambria"/>
          <w:noProof/>
          <w:sz w:val="22"/>
          <w:lang w:val="en-US"/>
        </w:rPr>
        <w:t>, 1995; Healy, 1985; Jones, 1991)</w:t>
      </w:r>
      <w:r w:rsidRPr="00C5133C">
        <w:rPr>
          <w:rFonts w:ascii="Cambria" w:hAnsi="Cambria"/>
          <w:sz w:val="22"/>
          <w:lang w:val="en-US"/>
        </w:rPr>
        <w:fldChar w:fldCharType="end"/>
      </w:r>
      <w:r w:rsidRPr="00C5133C">
        <w:rPr>
          <w:rFonts w:ascii="Cambria" w:hAnsi="Cambria"/>
          <w:sz w:val="22"/>
          <w:lang w:val="en-US"/>
        </w:rPr>
        <w:t xml:space="preserve">, teknik manajemen laba dengan menggunakan  model distribusi laba </w:t>
      </w:r>
      <w:r w:rsidRPr="00C5133C">
        <w:rPr>
          <w:rFonts w:ascii="Cambria" w:hAnsi="Cambria"/>
          <w:sz w:val="22"/>
          <w:lang w:val="en-US"/>
        </w:rPr>
        <w:fldChar w:fldCharType="begin" w:fldLock="1"/>
      </w:r>
      <w:r w:rsidRPr="00C5133C">
        <w:rPr>
          <w:rFonts w:ascii="Cambria" w:hAnsi="Cambria"/>
          <w:sz w:val="22"/>
          <w:lang w:val="en-US"/>
        </w:rPr>
        <w:instrText>ADDIN CSL_CITATION {"citationItems":[{"id":"ITEM-1","itemData":{"DOI":"https://doi.org/10.1016/S0165-4101(97)00017-7","ISSN":"0165-4101","abstract":"This paper provides evidence that firms manage reported earnings to avoid earnings decreases and losses. Specifically, in cross-sectional distributions of earnings changes and earnings, we lind unusually low frequencies of small decreases in earnings and small losscs and unusually high frequencies of small increases in earnings and small positive income. We find evidence that two components of earnings, cash flow from operations and changes in working capital, are used to achieve increases in earnings. We present two theories, based on stakeholder use of information-processing heuristics and prospect theory, about the motivation for avoidance of earnings decreases and losses.","author":[{"dropping-particle":"","family":"Burgstahler","given":"David","non-dropping-particle":"","parse-names":false,"suffix":""},{"dropping-particle":"","family":"Dichev","given":"Ilia","non-dropping-particle":"","parse-names":false,"suffix":""}],"container-title":"Journal of Accounting and Economics","id":"ITEM-1","issue":"1","issued":{"date-parts":[["1997"]]},"page":"99-126","title":"Earnings management to avoid earnings decreases and losses","type":"article-journal","volume":"24"},"uris":["http://www.mendeley.com/documents/?uuid=8a70c38a-ddb9-4b04-968b-1794fceed809"]}],"mendeley":{"formattedCitation":"(Burgstahler &amp; Dichev, 1997)","plainTextFormattedCitation":"(Burgstahler &amp; Dichev, 1997)","previouslyFormattedCitation":"(Burgstahler &amp; Dichev, 1997)"},"properties":{"noteIndex":0},"schema":"https://github.com/citation-style-language/schema/raw/master/csl-citation.json"}</w:instrText>
      </w:r>
      <w:r w:rsidRPr="00C5133C">
        <w:rPr>
          <w:rFonts w:ascii="Cambria" w:hAnsi="Cambria"/>
          <w:sz w:val="22"/>
          <w:lang w:val="en-US"/>
        </w:rPr>
        <w:fldChar w:fldCharType="separate"/>
      </w:r>
      <w:r w:rsidRPr="00C5133C">
        <w:rPr>
          <w:rFonts w:ascii="Cambria" w:hAnsi="Cambria"/>
          <w:noProof/>
          <w:sz w:val="22"/>
          <w:lang w:val="en-US"/>
        </w:rPr>
        <w:t>(Burgstahler &amp; Dichev, 1997)</w:t>
      </w:r>
      <w:r w:rsidRPr="00C5133C">
        <w:rPr>
          <w:rFonts w:ascii="Cambria" w:hAnsi="Cambria"/>
          <w:sz w:val="22"/>
          <w:lang w:val="en-US"/>
        </w:rPr>
        <w:fldChar w:fldCharType="end"/>
      </w:r>
      <w:r w:rsidRPr="00C5133C">
        <w:rPr>
          <w:rFonts w:ascii="Cambria" w:hAnsi="Cambria"/>
          <w:sz w:val="22"/>
          <w:lang w:val="en-US"/>
        </w:rPr>
        <w:t xml:space="preserve">, dan teknik pengelolaan laba melalui pengaturan aktivitas </w:t>
      </w:r>
      <w:r w:rsidRPr="00C5133C">
        <w:rPr>
          <w:rFonts w:ascii="Cambria" w:hAnsi="Cambria"/>
          <w:i/>
          <w:sz w:val="22"/>
          <w:lang w:val="en-US"/>
        </w:rPr>
        <w:t>real</w:t>
      </w:r>
      <w:r w:rsidRPr="00C5133C">
        <w:rPr>
          <w:rFonts w:ascii="Cambria" w:hAnsi="Cambria"/>
          <w:sz w:val="22"/>
          <w:lang w:val="en-US"/>
        </w:rPr>
        <w:t xml:space="preserve"> perusahaan </w:t>
      </w:r>
      <w:r w:rsidRPr="00C5133C">
        <w:rPr>
          <w:rFonts w:ascii="Cambria" w:hAnsi="Cambria"/>
          <w:sz w:val="22"/>
          <w:lang w:val="en-US"/>
        </w:rPr>
        <w:fldChar w:fldCharType="begin" w:fldLock="1"/>
      </w:r>
      <w:r w:rsidRPr="00C5133C">
        <w:rPr>
          <w:rFonts w:ascii="Cambria" w:hAnsi="Cambria"/>
          <w:sz w:val="22"/>
          <w:lang w:val="en-US"/>
        </w:rPr>
        <w:instrText>ADDIN CSL_CITATION {"citationItems":[{"id":"ITEM-1","itemData":{"DOI":"10.1016/j.jacceco.2006.01.002","ISSN":"01654101","abstract":"I find evidence consistent with managers manipulating real activities to avoid reporting annual losses. Specifically, I find evidence suggesting price discounts to temporarily increase sales, overproduction to report lower cost of goods sold, and reduction of discretionary expenditures to improve reported margins. Cross-sectional analysis reveals that these activities are less prevalent in the presence of sophisticated investors. Other factors that influence real activities manipulation include industry membership, the stock of inventories and receivables, and incentives to meet zero earnings. There is also some, though less robust, evidence of real activities manipulation to meet annual analyst forecasts. © 2006 Elsevier B.V. All rights reserved.","author":[{"dropping-particle":"","family":"Roychowdhury","given":"Sugata","non-dropping-particle":"","parse-names":false,"suffix":""}],"container-title":"Journal of Accounting and Economics","id":"ITEM-1","issue":"3","issued":{"date-parts":[["2006"]]},"page":"335-370","title":"Earnings management through real activities manipulation","type":"article-journal","volume":"42"},"uris":["http://www.mendeley.com/documents/?uuid=a3233d57-5ab2-479d-b7a5-ed72c578c6de"]}],"mendeley":{"formattedCitation":"(Roychowdhury, 2006)","plainTextFormattedCitation":"(Roychowdhury, 2006)","previouslyFormattedCitation":"(Roychowdhury, 2006)"},"properties":{"noteIndex":0},"schema":"https://github.com/citation-style-language/schema/raw/master/csl-citation.json"}</w:instrText>
      </w:r>
      <w:r w:rsidRPr="00C5133C">
        <w:rPr>
          <w:rFonts w:ascii="Cambria" w:hAnsi="Cambria"/>
          <w:sz w:val="22"/>
          <w:lang w:val="en-US"/>
        </w:rPr>
        <w:fldChar w:fldCharType="separate"/>
      </w:r>
      <w:r w:rsidRPr="00C5133C">
        <w:rPr>
          <w:rFonts w:ascii="Cambria" w:hAnsi="Cambria"/>
          <w:noProof/>
          <w:sz w:val="22"/>
          <w:lang w:val="en-US"/>
        </w:rPr>
        <w:t>(Roychowdhury, 2006)</w:t>
      </w:r>
      <w:r w:rsidRPr="00C5133C">
        <w:rPr>
          <w:rFonts w:ascii="Cambria" w:hAnsi="Cambria"/>
          <w:sz w:val="22"/>
          <w:lang w:val="en-US"/>
        </w:rPr>
        <w:fldChar w:fldCharType="end"/>
      </w:r>
      <w:r w:rsidRPr="00C5133C">
        <w:rPr>
          <w:rFonts w:ascii="Cambria" w:hAnsi="Cambria"/>
          <w:sz w:val="22"/>
          <w:lang w:val="en-US"/>
        </w:rPr>
        <w:t xml:space="preserve">. </w:t>
      </w:r>
    </w:p>
    <w:p w14:paraId="28354079" w14:textId="5C007F32" w:rsidR="00193E1D" w:rsidRPr="00C5133C" w:rsidRDefault="00C374C8" w:rsidP="00C5133C">
      <w:pPr>
        <w:spacing w:line="276" w:lineRule="auto"/>
        <w:rPr>
          <w:rFonts w:ascii="Cambria" w:hAnsi="Cambria" w:cs="Times New Roman"/>
          <w:sz w:val="22"/>
          <w:lang w:val="en-US"/>
        </w:rPr>
      </w:pPr>
      <w:r w:rsidRPr="00C5133C">
        <w:rPr>
          <w:rFonts w:ascii="Cambria" w:hAnsi="Cambria" w:cs="Times New Roman"/>
          <w:sz w:val="22"/>
          <w:lang w:val="en-US"/>
        </w:rPr>
        <w:t>Penelitian terkait manajemen laba di Indonesia menunjukkan bahwa manajemen laba mempengaruhi penghindaran pajak secara signifikan, baik positif (</w:t>
      </w:r>
      <w:r w:rsidRPr="00C5133C">
        <w:rPr>
          <w:rFonts w:ascii="Cambria" w:hAnsi="Cambria" w:cs="Times New Roman"/>
          <w:sz w:val="22"/>
          <w:lang w:val="en-US"/>
        </w:rPr>
        <w:fldChar w:fldCharType="begin" w:fldLock="1"/>
      </w:r>
      <w:r w:rsidRPr="00C5133C">
        <w:rPr>
          <w:rFonts w:ascii="Cambria" w:hAnsi="Cambria" w:cs="Times New Roman"/>
          <w:sz w:val="22"/>
          <w:lang w:val="en-US"/>
        </w:rPr>
        <w:instrText>ADDIN CSL_CITATION {"citationItems":[{"id":"ITEM-1","itemData":{"DOI":"10.32493/keberlanjutan.v2i1.y2017.p431-459","ISSN":"2528-5599","abstract":"AbstractThis research is aimed to provide empirical evident about relationship between leverage, loss carry forward and earnings management on tax avoidance. Using purposive sampling this research selected 264 firms that are listed in Indonesian Stock Exchange from 2013-2015 as samples. The result of multiple regression of panel data shows that there is significant relationship between leverage and earnings management on tax avoidance. Meanwhile, loss carry forward shows no significant relationship on tax avoidance. Keywords: leverage, loss carry forward, earnings management, tax avoidance","author":[{"dropping-particle":"","family":"Pajriyansyah","given":"Ridwan -","non-dropping-particle":"","parse-names":false,"suffix":""},{"dropping-particle":"","family":"Firmansyah","given":"Amrie -","non-dropping-particle":"","parse-names":false,"suffix":""}],"container-title":"Keberlanjutan","id":"ITEM-1","issue":"1","issued":{"date-parts":[["2017"]]},"page":"431","title":"Pengaruh Leverage, Kompensasi Rugi Fiskal Dan Manajemen Laba Terhadap Penghindaran Pajak","type":"article-journal","volume":"2"},"uris":["http://www.mendeley.com/documents/?uuid=79dde6cf-71c5-4f7f-8af3-6f1db3e66d65"]}],"mendeley":{"formattedCitation":"(Pajriyansyah &amp; Firmansyah, 2017)","manualFormatting":"Pajriyansyah &amp; Firmansyah, (2017)","plainTextFormattedCitation":"(Pajriyansyah &amp; Firmansyah, 2017)","previouslyFormattedCitation":"(Pajriyansyah &amp; Firmansyah, 2017)"},"properties":{"noteIndex":0},"schema":"https://github.com/citation-style-language/schema/raw/master/csl-citation.json"}</w:instrText>
      </w:r>
      <w:r w:rsidRPr="00C5133C">
        <w:rPr>
          <w:rFonts w:ascii="Cambria" w:hAnsi="Cambria" w:cs="Times New Roman"/>
          <w:sz w:val="22"/>
          <w:lang w:val="en-US"/>
        </w:rPr>
        <w:fldChar w:fldCharType="separate"/>
      </w:r>
      <w:r w:rsidRPr="00C5133C">
        <w:rPr>
          <w:rFonts w:ascii="Cambria" w:hAnsi="Cambria" w:cs="Times New Roman"/>
          <w:noProof/>
          <w:sz w:val="22"/>
          <w:lang w:val="en-US"/>
        </w:rPr>
        <w:t>Pajriyansyah &amp; Firmansyah, (2017)</w:t>
      </w:r>
      <w:r w:rsidRPr="00C5133C">
        <w:rPr>
          <w:rFonts w:ascii="Cambria" w:hAnsi="Cambria" w:cs="Times New Roman"/>
          <w:sz w:val="22"/>
          <w:lang w:val="en-US"/>
        </w:rPr>
        <w:fldChar w:fldCharType="end"/>
      </w:r>
      <w:r w:rsidRPr="00C5133C">
        <w:rPr>
          <w:rFonts w:ascii="Cambria" w:hAnsi="Cambria" w:cs="Times New Roman"/>
          <w:sz w:val="22"/>
          <w:lang w:val="en-US"/>
        </w:rPr>
        <w:t xml:space="preserve">; </w:t>
      </w:r>
      <w:r w:rsidRPr="00C5133C">
        <w:rPr>
          <w:rFonts w:ascii="Cambria" w:hAnsi="Cambria" w:cs="Times New Roman"/>
          <w:sz w:val="22"/>
          <w:lang w:val="en-US"/>
        </w:rPr>
        <w:fldChar w:fldCharType="begin" w:fldLock="1"/>
      </w:r>
      <w:r w:rsidRPr="00C5133C">
        <w:rPr>
          <w:rFonts w:ascii="Cambria" w:hAnsi="Cambria" w:cs="Times New Roman"/>
          <w:sz w:val="22"/>
          <w:lang w:val="en-US"/>
        </w:rPr>
        <w:instrText>ADDIN CSL_CITATION {"citationItems":[{"id":"ITEM-1","itemData":{"DOI":"10.33062/ajb.v3i1.175","ISSN":"2527-4309","abstract":"This study a ims to get t h e empirical evidence about the influence ofearnings management, audit quality and CEO duality on the tax avoidance. Taxavoidance has used an effective tax rate (ETR) by calculating the corporate taxesexpenses divided by the earnings before income and tax during a certain period.Population of this research are the manufacturing companies in IndonesiaStock Exchange in 2014-2016 which 48 companies are using the purposive samplingtechnique. Methods of data analysis has applied the descriptive statistical analysisand multiple linear regression.These results have indicated that earnings management, audit quality andCEO duality have had a significant effect simultaneously on the tax avoidance.However, partial test results have shown that the audit quality and CEO dualityhave not affected the tax avoidance. While the earnings manegement has had asignificant effect on the tax avoidance.","author":[{"dropping-particle":"","family":"Purba","given":"Darwin Marasi","non-dropping-particle":"","parse-names":false,"suffix":""}],"container-title":"The Accounting Journal of Binaniaga","id":"ITEM-1","issue":"1","issued":{"date-parts":[["2018"]]},"page":"25","title":"The Influence of Earnings Management, Audit Quality and CEO Duality on Tax Avoidance","type":"article-journal","volume":"3"},"uris":["http://www.mendeley.com/documents/?uuid=27ec5fc0-b251-4f8f-998e-aa80f6287ba9"]}],"mendeley":{"formattedCitation":"(Purba, 2018)","manualFormatting":"Purba, 2018)","plainTextFormattedCitation":"(Purba, 2018)","previouslyFormattedCitation":"(Purba, 2018)"},"properties":{"noteIndex":0},"schema":"https://github.com/citation-style-language/schema/raw/master/csl-citation.json"}</w:instrText>
      </w:r>
      <w:r w:rsidRPr="00C5133C">
        <w:rPr>
          <w:rFonts w:ascii="Cambria" w:hAnsi="Cambria" w:cs="Times New Roman"/>
          <w:sz w:val="22"/>
          <w:lang w:val="en-US"/>
        </w:rPr>
        <w:fldChar w:fldCharType="separate"/>
      </w:r>
      <w:r w:rsidRPr="00C5133C">
        <w:rPr>
          <w:rFonts w:ascii="Cambria" w:hAnsi="Cambria" w:cs="Times New Roman"/>
          <w:noProof/>
          <w:sz w:val="22"/>
          <w:lang w:val="en-US"/>
        </w:rPr>
        <w:t>Purba, 2018)</w:t>
      </w:r>
      <w:r w:rsidRPr="00C5133C">
        <w:rPr>
          <w:rFonts w:ascii="Cambria" w:hAnsi="Cambria" w:cs="Times New Roman"/>
          <w:sz w:val="22"/>
          <w:lang w:val="en-US"/>
        </w:rPr>
        <w:fldChar w:fldCharType="end"/>
      </w:r>
      <w:r w:rsidRPr="00C5133C">
        <w:rPr>
          <w:rFonts w:ascii="Cambria" w:hAnsi="Cambria" w:cs="Times New Roman"/>
          <w:sz w:val="22"/>
          <w:lang w:val="en-US"/>
        </w:rPr>
        <w:t xml:space="preserve"> maupun negatif </w:t>
      </w:r>
      <w:r w:rsidRPr="00C5133C">
        <w:rPr>
          <w:rFonts w:ascii="Cambria" w:hAnsi="Cambria" w:cs="Times New Roman"/>
          <w:sz w:val="22"/>
          <w:lang w:val="en-US"/>
        </w:rPr>
        <w:fldChar w:fldCharType="begin" w:fldLock="1"/>
      </w:r>
      <w:r w:rsidRPr="00C5133C">
        <w:rPr>
          <w:rFonts w:ascii="Cambria" w:hAnsi="Cambria" w:cs="Times New Roman"/>
          <w:sz w:val="22"/>
          <w:lang w:val="en-US"/>
        </w:rPr>
        <w:instrText>ADDIN CSL_CITATION {"citationItems":[{"id":"ITEM-1","itemData":{"DOI":"10.35829/econbank.v1i2.48","abstract":"The purpose of this study is knowing the effect of leverage, profitability, capital intensity, and earnings management on tax avoidance. The period of this study is 5 (five) years, from 2013 to 2017. The data used are secondary data. The population is mining sector companies listed on the Indonesia Stock Exchange from 2013 to 2017 with a total of 47 companies. The sample selection is determined by the purpose sampling method and the samples used are 11 companies with a total of 55 data. The data analysis method is multiple linear regression. The results show that profitability, capital intensity, and earnings management negatively affect tax avoidance. Leverage has no effect on tax avoidance.","author":[{"dropping-particle":"","family":"Rifai","given":"Ahmad","non-dropping-particle":"","parse-names":false,"suffix":""},{"dropping-particle":"","family":"Atiningsih","given":"Suci","non-dropping-particle":"","parse-names":false,"suffix":""}],"container-title":"ECONBANK: Journal of Economics and Banking","id":"ITEM-1","issue":"2","issued":{"date-parts":[["2019"]]},"page":"135-142","title":"Pengaruh Leverage, Profitabilitas, Capital Intensity, Manajemen Laba Terhadap Penghindaran Pajak","type":"article-journal","volume":"1"},"uris":["http://www.mendeley.com/documents/?uuid=dbf41dd0-9bd6-49ef-9070-154fb9510cc7"]}],"mendeley":{"formattedCitation":"(Rifai &amp; Atiningsih, 2019)","plainTextFormattedCitation":"(Rifai &amp; Atiningsih, 2019)","previouslyFormattedCitation":"(Rifai &amp; Atiningsih, 2019)"},"properties":{"noteIndex":0},"schema":"https://github.com/citation-style-language/schema/raw/master/csl-citation.json"}</w:instrText>
      </w:r>
      <w:r w:rsidRPr="00C5133C">
        <w:rPr>
          <w:rFonts w:ascii="Cambria" w:hAnsi="Cambria" w:cs="Times New Roman"/>
          <w:sz w:val="22"/>
          <w:lang w:val="en-US"/>
        </w:rPr>
        <w:fldChar w:fldCharType="separate"/>
      </w:r>
      <w:r w:rsidRPr="00C5133C">
        <w:rPr>
          <w:rFonts w:ascii="Cambria" w:hAnsi="Cambria" w:cs="Times New Roman"/>
          <w:noProof/>
          <w:sz w:val="22"/>
          <w:lang w:val="en-US"/>
        </w:rPr>
        <w:t>(Rifai &amp; Atiningsih, 2019)</w:t>
      </w:r>
      <w:r w:rsidRPr="00C5133C">
        <w:rPr>
          <w:rFonts w:ascii="Cambria" w:hAnsi="Cambria" w:cs="Times New Roman"/>
          <w:sz w:val="22"/>
          <w:lang w:val="en-US"/>
        </w:rPr>
        <w:fldChar w:fldCharType="end"/>
      </w:r>
      <w:r w:rsidRPr="00C5133C">
        <w:rPr>
          <w:rFonts w:ascii="Cambria" w:hAnsi="Cambria" w:cs="Times New Roman"/>
          <w:sz w:val="22"/>
          <w:lang w:val="en-US"/>
        </w:rPr>
        <w:t xml:space="preserve">. </w:t>
      </w:r>
      <w:r w:rsidRPr="00C5133C">
        <w:rPr>
          <w:rFonts w:ascii="Cambria" w:hAnsi="Cambria"/>
          <w:sz w:val="22"/>
          <w:lang w:val="en-US"/>
        </w:rPr>
        <w:t>P</w:t>
      </w:r>
      <w:r w:rsidRPr="00C5133C">
        <w:rPr>
          <w:rFonts w:ascii="Cambria" w:hAnsi="Cambria" w:cs="Times New Roman"/>
          <w:sz w:val="22"/>
          <w:lang w:val="en-US"/>
        </w:rPr>
        <w:t xml:space="preserve">enelitian lainnya menunjukkan bahwa manajemen laba </w:t>
      </w:r>
      <w:r w:rsidR="00BF2898" w:rsidRPr="00C5133C">
        <w:rPr>
          <w:rFonts w:ascii="Cambria" w:hAnsi="Cambria" w:cs="Times New Roman"/>
          <w:i/>
          <w:sz w:val="22"/>
          <w:lang w:val="en-US"/>
        </w:rPr>
        <w:t>real</w:t>
      </w:r>
      <w:r w:rsidRPr="00C5133C">
        <w:rPr>
          <w:rFonts w:ascii="Cambria" w:hAnsi="Cambria" w:cs="Times New Roman"/>
          <w:sz w:val="22"/>
          <w:lang w:val="en-US"/>
        </w:rPr>
        <w:t xml:space="preserve"> mempengaruhi penghindaran pajak secara positif </w:t>
      </w:r>
      <w:r w:rsidRPr="00C5133C">
        <w:rPr>
          <w:rFonts w:ascii="Cambria" w:hAnsi="Cambria" w:cs="Times New Roman"/>
          <w:sz w:val="22"/>
          <w:lang w:val="en-US"/>
        </w:rPr>
        <w:fldChar w:fldCharType="begin" w:fldLock="1"/>
      </w:r>
      <w:r w:rsidRPr="00C5133C">
        <w:rPr>
          <w:rFonts w:ascii="Cambria" w:hAnsi="Cambria" w:cs="Times New Roman"/>
          <w:sz w:val="22"/>
          <w:lang w:val="en-US"/>
        </w:rPr>
        <w:instrText>ADDIN CSL_CITATION {"citationItems":[{"id":"ITEM-1","itemData":{"ISSN":"1869-0459","abstract":"Transfer Pricing has been deployed by most companies to optimize their after tax profit. On the other hands, earning management can also be used to achieve similar objective. This study aims to investigate the impact of transfer pricing, accrual earnings management, and real earning management on tax avoidance. To Test the hypotheses we used multiple linear regression models. The sample in this study was 63 manufacturing companies listed on the IDX with a research period of 2014-2017. The results show that transfer pricing has a significant negative effect on tax avoidance. It means companies do not use transfer pricing activities as a medium of tax avoidance. In contrast, accrual earning management has a significant positive effect on tax avoidance, meaning that earnings management through accrual activity is used by companies to carry out tax avoidance. Furthermore, real earning management has a significant negative effect on tax avoidance, meaning that the higher earnings management activities through real activities carried out by the company reduce the possibility of companies doing tax avoidance. ABSTRACT FROM AUTHOR","author":[{"dropping-particle":"","family":"Irawan","given":"Ferry","non-dropping-particle":"","parse-names":false,"suffix":""},{"dropping-particle":"","family":"Kinanti","given":"Annisa","non-dropping-particle":"","parse-names":false,"suffix":""},{"dropping-particle":"","family":"Suhendra","given":"Maman","non-dropping-particle":"","parse-names":false,"suffix":""}],"container-title":"Talent Development &amp; Excellence","id":"ITEM-1","issue":"September","issued":{"date-parts":[["2020"]]},"page":"3203-3216","title":"The Impact of Transfer Pricing and Earning Management on Tax Avoidance","type":"article-journal","volume":"12"},"uris":["http://www.mendeley.com/documents/?uuid=4bd11170-a7da-4ea6-a508-ed51037de471"]}],"mendeley":{"formattedCitation":"(Irawan et al., 2020)","manualFormatting":"(Irawan et al., 2020","plainTextFormattedCitation":"(Irawan et al., 2020)","previouslyFormattedCitation":"(Irawan et al., 2020)"},"properties":{"noteIndex":0},"schema":"https://github.com/citation-style-language/schema/raw/master/csl-citation.json"}</w:instrText>
      </w:r>
      <w:r w:rsidRPr="00C5133C">
        <w:rPr>
          <w:rFonts w:ascii="Cambria" w:hAnsi="Cambria" w:cs="Times New Roman"/>
          <w:sz w:val="22"/>
          <w:lang w:val="en-US"/>
        </w:rPr>
        <w:fldChar w:fldCharType="separate"/>
      </w:r>
      <w:r w:rsidRPr="00C5133C">
        <w:rPr>
          <w:rFonts w:ascii="Cambria" w:hAnsi="Cambria" w:cs="Times New Roman"/>
          <w:noProof/>
          <w:sz w:val="22"/>
          <w:lang w:val="en-US"/>
        </w:rPr>
        <w:t xml:space="preserve">(Irawan </w:t>
      </w:r>
      <w:r w:rsidR="00BF2898" w:rsidRPr="00C5133C">
        <w:rPr>
          <w:rFonts w:ascii="Cambria" w:hAnsi="Cambria" w:cs="Times New Roman"/>
          <w:i/>
          <w:noProof/>
          <w:sz w:val="22"/>
          <w:lang w:val="en-US"/>
        </w:rPr>
        <w:t>et al.</w:t>
      </w:r>
      <w:r w:rsidRPr="00C5133C">
        <w:rPr>
          <w:rFonts w:ascii="Cambria" w:hAnsi="Cambria" w:cs="Times New Roman"/>
          <w:noProof/>
          <w:sz w:val="22"/>
          <w:lang w:val="en-US"/>
        </w:rPr>
        <w:t>, 2020</w:t>
      </w:r>
      <w:r w:rsidRPr="00C5133C">
        <w:rPr>
          <w:rFonts w:ascii="Cambria" w:hAnsi="Cambria" w:cs="Times New Roman"/>
          <w:sz w:val="22"/>
          <w:lang w:val="en-US"/>
        </w:rPr>
        <w:fldChar w:fldCharType="end"/>
      </w:r>
      <w:r w:rsidRPr="00C5133C">
        <w:rPr>
          <w:rFonts w:ascii="Cambria" w:hAnsi="Cambria" w:cs="Times New Roman"/>
          <w:sz w:val="22"/>
          <w:lang w:val="en-US"/>
        </w:rPr>
        <w:t xml:space="preserve">; </w:t>
      </w:r>
      <w:r w:rsidRPr="00C5133C">
        <w:rPr>
          <w:rFonts w:ascii="Cambria" w:hAnsi="Cambria" w:cs="Times New Roman"/>
          <w:sz w:val="22"/>
          <w:lang w:val="en-US"/>
        </w:rPr>
        <w:fldChar w:fldCharType="begin" w:fldLock="1"/>
      </w:r>
      <w:r w:rsidRPr="00C5133C">
        <w:rPr>
          <w:rFonts w:ascii="Cambria" w:hAnsi="Cambria" w:cs="Times New Roman"/>
          <w:sz w:val="22"/>
          <w:lang w:val="en-US"/>
        </w:rPr>
        <w:instrText>ADDIN CSL_CITATION {"citationItems":[{"id":"ITEM-1","itemData":{"DOI":"10.32493/keberlanjutan.v2i1.y2017.p431-459","ISSN":"2528-5599","abstract":"AbstractThis research is aimed to provide empirical evident about relationship between leverage, loss carry forward and earnings management on tax avoidance. Using purposive sampling this research selected 264 firms that are listed in Indonesian Stock Exchange from 2013-2015 as samples. The result of multiple regression of panel data shows that there is significant relationship between leverage and earnings management on tax avoidance. Meanwhile, loss carry forward shows no significant relationship on tax avoidance. Keywords: leverage, loss carry forward, earnings management, tax avoidance","author":[{"dropping-particle":"","family":"Pajriyansyah","given":"Ridwan -","non-dropping-particle":"","parse-names":false,"suffix":""},{"dropping-particle":"","family":"Firmansyah","given":"Amrie -","non-dropping-particle":"","parse-names":false,"suffix":""}],"container-title":"Keberlanjutan","id":"ITEM-1","issue":"1","issued":{"date-parts":[["2017"]]},"page":"431","title":"Pengaruh Leverage, Kompensasi Rugi Fiskal Dan Manajemen Laba Terhadap Penghindaran Pajak","type":"article-journal","volume":"2"},"uris":["http://www.mendeley.com/documents/?uuid=79dde6cf-71c5-4f7f-8af3-6f1db3e66d65"]}],"mendeley":{"formattedCitation":"(Pajriyansyah &amp; Firmansyah, 2017)","manualFormatting":"Pajriyansyah &amp; Firmansyah, 2017)","plainTextFormattedCitation":"(Pajriyansyah &amp; Firmansyah, 2017)","previouslyFormattedCitation":"(Pajriyansyah &amp; Firmansyah, 2017)"},"properties":{"noteIndex":0},"schema":"https://github.com/citation-style-language/schema/raw/master/csl-citation.json"}</w:instrText>
      </w:r>
      <w:r w:rsidRPr="00C5133C">
        <w:rPr>
          <w:rFonts w:ascii="Cambria" w:hAnsi="Cambria" w:cs="Times New Roman"/>
          <w:sz w:val="22"/>
          <w:lang w:val="en-US"/>
        </w:rPr>
        <w:fldChar w:fldCharType="separate"/>
      </w:r>
      <w:r w:rsidRPr="00C5133C">
        <w:rPr>
          <w:rFonts w:ascii="Cambria" w:hAnsi="Cambria" w:cs="Times New Roman"/>
          <w:noProof/>
          <w:sz w:val="22"/>
          <w:lang w:val="en-US"/>
        </w:rPr>
        <w:t>Pajriyansyah &amp; Firmansyah, 2017)</w:t>
      </w:r>
      <w:r w:rsidRPr="00C5133C">
        <w:rPr>
          <w:rFonts w:ascii="Cambria" w:hAnsi="Cambria" w:cs="Times New Roman"/>
          <w:sz w:val="22"/>
          <w:lang w:val="en-US"/>
        </w:rPr>
        <w:fldChar w:fldCharType="end"/>
      </w:r>
      <w:r w:rsidRPr="00C5133C">
        <w:rPr>
          <w:rFonts w:ascii="Cambria" w:hAnsi="Cambria" w:cs="Times New Roman"/>
          <w:sz w:val="22"/>
          <w:lang w:val="en-US"/>
        </w:rPr>
        <w:t>, sedang</w:t>
      </w:r>
      <w:r w:rsidR="006D66D8">
        <w:rPr>
          <w:rFonts w:ascii="Cambria" w:hAnsi="Cambria" w:cs="Times New Roman"/>
          <w:sz w:val="22"/>
          <w:lang w:val="en-US"/>
        </w:rPr>
        <w:t>k</w:t>
      </w:r>
      <w:r w:rsidRPr="00C5133C">
        <w:rPr>
          <w:rFonts w:ascii="Cambria" w:hAnsi="Cambria" w:cs="Times New Roman"/>
          <w:sz w:val="22"/>
          <w:lang w:val="en-US"/>
        </w:rPr>
        <w:t xml:space="preserve">an manajemen laba </w:t>
      </w:r>
      <w:r w:rsidR="00BF2898" w:rsidRPr="00C5133C">
        <w:rPr>
          <w:rFonts w:ascii="Cambria" w:hAnsi="Cambria" w:cs="Times New Roman"/>
          <w:i/>
          <w:sz w:val="22"/>
          <w:lang w:val="en-US"/>
        </w:rPr>
        <w:t>real</w:t>
      </w:r>
      <w:r w:rsidRPr="00C5133C">
        <w:rPr>
          <w:rFonts w:ascii="Cambria" w:hAnsi="Cambria" w:cs="Times New Roman"/>
          <w:sz w:val="22"/>
          <w:lang w:val="en-US"/>
        </w:rPr>
        <w:t xml:space="preserve"> memiliki pengaruh negatif </w:t>
      </w:r>
      <w:r w:rsidRPr="00C5133C">
        <w:rPr>
          <w:rFonts w:ascii="Cambria" w:hAnsi="Cambria" w:cs="Times New Roman"/>
          <w:sz w:val="22"/>
          <w:lang w:val="en-US"/>
        </w:rPr>
        <w:fldChar w:fldCharType="begin" w:fldLock="1"/>
      </w:r>
      <w:r w:rsidRPr="00C5133C">
        <w:rPr>
          <w:rFonts w:ascii="Cambria" w:hAnsi="Cambria" w:cs="Times New Roman"/>
          <w:sz w:val="22"/>
          <w:lang w:val="en-US"/>
        </w:rPr>
        <w:instrText>ADDIN CSL_CITATION {"citationItems":[{"id":"ITEM-1","itemData":{"ISSN":"1869-0459","abstract":"Transfer Pricing has been deployed by most companies to optimize their after tax profit. On the other hands, earning management can also be used to achieve similar objective. This study aims to investigate the impact of transfer pricing, accrual earnings management, and real earning management on tax avoidance. To Test the hypotheses we used multiple linear regression models. The sample in this study was 63 manufacturing companies listed on the IDX with a research period of 2014-2017. The results show that transfer pricing has a significant negative effect on tax avoidance. It means companies do not use transfer pricing activities as a medium of tax avoidance. In contrast, accrual earning management has a significant positive effect on tax avoidance, meaning that earnings management through accrual activity is used by companies to carry out tax avoidance. Furthermore, real earning management has a significant negative effect on tax avoidance, meaning that the higher earnings management activities through real activities carried out by the company reduce the possibility of companies doing tax avoidance. ABSTRACT FROM AUTHOR","author":[{"dropping-particle":"","family":"Irawan","given":"Ferry","non-dropping-particle":"","parse-names":false,"suffix":""},{"dropping-particle":"","family":"Kinanti","given":"Annisa","non-dropping-particle":"","parse-names":false,"suffix":""},{"dropping-particle":"","family":"Suhendra","given":"Maman","non-dropping-particle":"","parse-names":false,"suffix":""}],"container-title":"Talent Development &amp; Excellence","id":"ITEM-1","issue":"September","issued":{"date-parts":[["2020"]]},"page":"3203-3216","title":"The Impact of Transfer Pricing and Earning Management on Tax Avoidance","type":"article-journal","volume":"12"},"uris":["http://www.mendeley.com/documents/?uuid=4bd11170-a7da-4ea6-a508-ed51037de471"]}],"mendeley":{"formattedCitation":"(Irawan et al., 2020)","manualFormatting":"(Irawan et al., 2020","plainTextFormattedCitation":"(Irawan et al., 2020)","previouslyFormattedCitation":"(Irawan et al., 2020)"},"properties":{"noteIndex":0},"schema":"https://github.com/citation-style-language/schema/raw/master/csl-citation.json"}</w:instrText>
      </w:r>
      <w:r w:rsidRPr="00C5133C">
        <w:rPr>
          <w:rFonts w:ascii="Cambria" w:hAnsi="Cambria" w:cs="Times New Roman"/>
          <w:sz w:val="22"/>
          <w:lang w:val="en-US"/>
        </w:rPr>
        <w:fldChar w:fldCharType="separate"/>
      </w:r>
      <w:r w:rsidRPr="00C5133C">
        <w:rPr>
          <w:rFonts w:ascii="Cambria" w:hAnsi="Cambria" w:cs="Times New Roman"/>
          <w:noProof/>
          <w:sz w:val="22"/>
          <w:lang w:val="en-US"/>
        </w:rPr>
        <w:t xml:space="preserve">(Irawan </w:t>
      </w:r>
      <w:r w:rsidR="00BF2898" w:rsidRPr="00C5133C">
        <w:rPr>
          <w:rFonts w:ascii="Cambria" w:hAnsi="Cambria" w:cs="Times New Roman"/>
          <w:i/>
          <w:noProof/>
          <w:sz w:val="22"/>
          <w:lang w:val="en-US"/>
        </w:rPr>
        <w:t>et al.</w:t>
      </w:r>
      <w:r w:rsidRPr="00C5133C">
        <w:rPr>
          <w:rFonts w:ascii="Cambria" w:hAnsi="Cambria" w:cs="Times New Roman"/>
          <w:noProof/>
          <w:sz w:val="22"/>
          <w:lang w:val="en-US"/>
        </w:rPr>
        <w:t>, 2020</w:t>
      </w:r>
      <w:r w:rsidRPr="00C5133C">
        <w:rPr>
          <w:rFonts w:ascii="Cambria" w:hAnsi="Cambria" w:cs="Times New Roman"/>
          <w:sz w:val="22"/>
          <w:lang w:val="en-US"/>
        </w:rPr>
        <w:fldChar w:fldCharType="end"/>
      </w:r>
      <w:r w:rsidRPr="00C5133C">
        <w:rPr>
          <w:rFonts w:ascii="Cambria" w:hAnsi="Cambria" w:cs="Times New Roman"/>
          <w:sz w:val="22"/>
          <w:lang w:val="en-US"/>
        </w:rPr>
        <w:t xml:space="preserve">; </w:t>
      </w:r>
      <w:r w:rsidRPr="00C5133C">
        <w:rPr>
          <w:rFonts w:ascii="Cambria" w:hAnsi="Cambria" w:cs="Times New Roman"/>
          <w:sz w:val="22"/>
          <w:lang w:val="en-US"/>
        </w:rPr>
        <w:fldChar w:fldCharType="begin" w:fldLock="1"/>
      </w:r>
      <w:r w:rsidRPr="00C5133C">
        <w:rPr>
          <w:rFonts w:ascii="Cambria" w:hAnsi="Cambria" w:cs="Times New Roman"/>
          <w:sz w:val="22"/>
          <w:lang w:val="en-US"/>
        </w:rPr>
        <w:instrText>ADDIN CSL_CITATION {"citationItems":[{"id":"ITEM-1","itemData":{"DOI":"10.32493/keberlanjutan.v2i1.y2017.p431-459","ISSN":"2528-5599","abstract":"AbstractThis research is aimed to provide empirical evident about relationship between leverage, loss carry forward and earnings management on tax avoidance. Using purposive sampling this research selected 264 firms that are listed in Indonesian Stock Exchange from 2013-2015 as samples. The result of multiple regression of panel data shows that there is significant relationship between leverage and earnings management on tax avoidance. Meanwhile, loss carry forward shows no significant relationship on tax avoidance. Keywords: leverage, loss carry forward, earnings management, tax avoidance","author":[{"dropping-particle":"","family":"Pajriyansyah","given":"Ridwan -","non-dropping-particle":"","parse-names":false,"suffix":""},{"dropping-particle":"","family":"Firmansyah","given":"Amrie -","non-dropping-particle":"","parse-names":false,"suffix":""}],"container-title":"Keberlanjutan","id":"ITEM-1","issue":"1","issued":{"date-parts":[["2017"]]},"page":"431","title":"Pengaruh Leverage, Kompensasi Rugi Fiskal Dan Manajemen Laba Terhadap Penghindaran Pajak","type":"article-journal","volume":"2"},"uris":["http://www.mendeley.com/documents/?uuid=79dde6cf-71c5-4f7f-8af3-6f1db3e66d65"]}],"mendeley":{"formattedCitation":"(Pajriyansyah &amp; Firmansyah, 2017)","manualFormatting":"Pajriyansyah &amp; Firmansyah, 2017)","plainTextFormattedCitation":"(Pajriyansyah &amp; Firmansyah, 2017)","previouslyFormattedCitation":"(Pajriyansyah &amp; Firmansyah, 2017)"},"properties":{"noteIndex":0},"schema":"https://github.com/citation-style-language/schema/raw/master/csl-citation.json"}</w:instrText>
      </w:r>
      <w:r w:rsidRPr="00C5133C">
        <w:rPr>
          <w:rFonts w:ascii="Cambria" w:hAnsi="Cambria" w:cs="Times New Roman"/>
          <w:sz w:val="22"/>
          <w:lang w:val="en-US"/>
        </w:rPr>
        <w:fldChar w:fldCharType="separate"/>
      </w:r>
      <w:r w:rsidRPr="00C5133C">
        <w:rPr>
          <w:rFonts w:ascii="Cambria" w:hAnsi="Cambria" w:cs="Times New Roman"/>
          <w:noProof/>
          <w:sz w:val="22"/>
          <w:lang w:val="en-US"/>
        </w:rPr>
        <w:t>Pajriyansyah &amp; Firmansyah, 2017)</w:t>
      </w:r>
      <w:r w:rsidRPr="00C5133C">
        <w:rPr>
          <w:rFonts w:ascii="Cambria" w:hAnsi="Cambria" w:cs="Times New Roman"/>
          <w:sz w:val="22"/>
          <w:lang w:val="en-US"/>
        </w:rPr>
        <w:fldChar w:fldCharType="end"/>
      </w:r>
      <w:r w:rsidRPr="00C5133C">
        <w:rPr>
          <w:rFonts w:ascii="Cambria" w:hAnsi="Cambria" w:cs="Times New Roman"/>
          <w:sz w:val="22"/>
          <w:lang w:val="en-US"/>
        </w:rPr>
        <w:t xml:space="preserve">. </w:t>
      </w:r>
      <w:r w:rsidR="00193E1D" w:rsidRPr="00C5133C">
        <w:rPr>
          <w:rFonts w:ascii="Cambria" w:hAnsi="Cambria" w:cs="Times New Roman"/>
          <w:sz w:val="22"/>
          <w:lang w:val="en-US"/>
        </w:rPr>
        <w:t xml:space="preserve">Adapun </w:t>
      </w:r>
      <w:r w:rsidR="00193E1D" w:rsidRPr="00C5133C">
        <w:rPr>
          <w:rFonts w:ascii="Cambria" w:hAnsi="Cambria" w:cs="Times New Roman"/>
          <w:sz w:val="22"/>
          <w:lang w:val="en-US"/>
        </w:rPr>
        <w:fldChar w:fldCharType="begin" w:fldLock="1"/>
      </w:r>
      <w:r w:rsidR="00193E1D" w:rsidRPr="00C5133C">
        <w:rPr>
          <w:rFonts w:ascii="Cambria" w:hAnsi="Cambria" w:cs="Times New Roman"/>
          <w:sz w:val="22"/>
          <w:lang w:val="en-US"/>
        </w:rPr>
        <w:instrText>ADDIN CSL_CITATION {"citationItems":[{"id":"ITEM-1","itemData":{"abstract":"Book tax difference leads an opportunity for earnings management that management calculates the company's earnings for two purposes each year, ie the purpose for financial reporting based on the principles of financial accounting standards and tax reporting based on tax regulations to determine the amount of taxable income or earnings according to fiscal. The Indonesian tax regulations require that the fiscal profit is calculated based on the accrual accounting method, so that the company does not have to double bookkeeping.This study is aimed to examine the effect of earnings management through accounting irregularity, real earnings activities and accrual earnings activites on tax aggressiveness. The samples used in this study are manufacturing companies listed on the Indonesia Stock Exchange (BEI) in the period 2013-2015. Using pusposive sampling, selected companies data amounted to 80, so the total sample in this study of 240. The data examination in this study uses multiple regression analysis with panel data. The results of this study indicate that accounting irregularity has no significant effect on tax aggressiveness. Meanwhile, real earnings management through operating cash flow has a significant negative effect on tax aggressiveness, real earnings management through decreasing discretionary expenses has a significant positive effect on tax aggressiveness, real earnings management through overproduction has a significant positive effect on tax aggressiveness. Furthermore, accrual earnings management has a significant positive effect on tax aggressiveness.","author":[{"dropping-particle":"","family":"Surahman","given":"Andy","non-dropping-particle":"","parse-names":false,"suffix":""},{"dropping-particle":"","family":"Firmansyah","given":"Amrie","non-dropping-particle":"","parse-names":false,"suffix":""}],"container-title":"Fundamental Management Journal","id":"ITEM-1","issue":"2","issued":{"date-parts":[["2017"]]},"page":"10-28","title":"Pengaruh manajemen laba melalui penyimpangan akuntansi, aktivitas laba riil dan akrual terhadap agresivitas pajak","type":"article-journal","volume":"2"},"uris":["http://www.mendeley.com/documents/?uuid=2297f397-4d93-47e4-b0df-149567b3f431"]}],"mendeley":{"formattedCitation":"(Surahman &amp; Firmansyah, 2017)","manualFormatting":"Surahman &amp; Firmansyah (2017)","plainTextFormattedCitation":"(Surahman &amp; Firmansyah, 2017)","previouslyFormattedCitation":"(Surahman &amp; Firmansyah, 2017)"},"properties":{"noteIndex":0},"schema":"https://github.com/citation-style-language/schema/raw/master/csl-citation.json"}</w:instrText>
      </w:r>
      <w:r w:rsidR="00193E1D" w:rsidRPr="00C5133C">
        <w:rPr>
          <w:rFonts w:ascii="Cambria" w:hAnsi="Cambria" w:cs="Times New Roman"/>
          <w:sz w:val="22"/>
          <w:lang w:val="en-US"/>
        </w:rPr>
        <w:fldChar w:fldCharType="separate"/>
      </w:r>
      <w:r w:rsidR="00193E1D" w:rsidRPr="00C5133C">
        <w:rPr>
          <w:rFonts w:ascii="Cambria" w:hAnsi="Cambria" w:cs="Times New Roman"/>
          <w:noProof/>
          <w:sz w:val="22"/>
          <w:lang w:val="en-US"/>
        </w:rPr>
        <w:t>Surahman &amp; Firmansyah (2017)</w:t>
      </w:r>
      <w:r w:rsidR="00193E1D" w:rsidRPr="00C5133C">
        <w:rPr>
          <w:rFonts w:ascii="Cambria" w:hAnsi="Cambria" w:cs="Times New Roman"/>
          <w:sz w:val="22"/>
          <w:lang w:val="en-US"/>
        </w:rPr>
        <w:fldChar w:fldCharType="end"/>
      </w:r>
      <w:r w:rsidR="00193E1D" w:rsidRPr="00C5133C">
        <w:rPr>
          <w:rFonts w:ascii="Cambria" w:hAnsi="Cambria" w:cs="Times New Roman"/>
          <w:sz w:val="22"/>
          <w:lang w:val="en-US"/>
        </w:rPr>
        <w:t xml:space="preserve"> menjelaskan bahwa manajemen laba mela</w:t>
      </w:r>
      <w:r w:rsidR="006D66D8">
        <w:rPr>
          <w:rFonts w:ascii="Cambria" w:hAnsi="Cambria" w:cs="Times New Roman"/>
          <w:sz w:val="22"/>
          <w:lang w:val="en-US"/>
        </w:rPr>
        <w:t>l</w:t>
      </w:r>
      <w:r w:rsidR="00193E1D" w:rsidRPr="00C5133C">
        <w:rPr>
          <w:rFonts w:ascii="Cambria" w:hAnsi="Cambria" w:cs="Times New Roman"/>
          <w:sz w:val="22"/>
          <w:lang w:val="en-US"/>
        </w:rPr>
        <w:t>ui arus kas memiliki pengaruh negatif signif</w:t>
      </w:r>
      <w:r w:rsidR="006D66D8">
        <w:rPr>
          <w:rFonts w:ascii="Cambria" w:hAnsi="Cambria" w:cs="Times New Roman"/>
          <w:sz w:val="22"/>
          <w:lang w:val="en-US"/>
        </w:rPr>
        <w:t>i</w:t>
      </w:r>
      <w:r w:rsidR="00193E1D" w:rsidRPr="00C5133C">
        <w:rPr>
          <w:rFonts w:ascii="Cambria" w:hAnsi="Cambria" w:cs="Times New Roman"/>
          <w:sz w:val="22"/>
          <w:lang w:val="en-US"/>
        </w:rPr>
        <w:t>kan, manajemen laba melalui biaya produksi memiliki pengaruh positif signifikan, dan manajemen laba melalui biaya diskresioner memiliki pengaruh positif signifikan terhadap penghindaran pajak.</w:t>
      </w:r>
    </w:p>
    <w:p w14:paraId="727A4300" w14:textId="15B2EC84" w:rsidR="00C374C8" w:rsidRPr="00C5133C" w:rsidRDefault="00193E1D" w:rsidP="00C5133C">
      <w:pPr>
        <w:spacing w:line="276" w:lineRule="auto"/>
        <w:rPr>
          <w:rFonts w:ascii="Cambria" w:hAnsi="Cambria" w:cs="Times New Roman"/>
          <w:sz w:val="22"/>
          <w:lang w:val="en-US"/>
        </w:rPr>
      </w:pPr>
      <w:r w:rsidRPr="00C5133C">
        <w:rPr>
          <w:rFonts w:ascii="Cambria" w:hAnsi="Cambria"/>
          <w:i/>
          <w:iCs/>
          <w:sz w:val="22"/>
        </w:rPr>
        <w:t xml:space="preserve">Transfer pricing </w:t>
      </w:r>
      <w:r w:rsidRPr="00C5133C">
        <w:rPr>
          <w:rFonts w:ascii="Cambria" w:hAnsi="Cambria"/>
          <w:sz w:val="22"/>
          <w:lang w:val="en-US"/>
        </w:rPr>
        <w:t xml:space="preserve">merupakan suatu upaya yang dilakukan perusahaan dalam tujuan penghindaran pajak, khususnya bagi perusahaan multinasional yang melakukan transaksi internasional </w:t>
      </w:r>
      <w:r w:rsidRPr="00C5133C">
        <w:rPr>
          <w:rFonts w:ascii="Cambria" w:hAnsi="Cambria"/>
          <w:sz w:val="22"/>
          <w:lang w:val="en-US"/>
        </w:rPr>
        <w:fldChar w:fldCharType="begin" w:fldLock="1"/>
      </w:r>
      <w:r w:rsidRPr="00C5133C">
        <w:rPr>
          <w:rFonts w:ascii="Cambria" w:hAnsi="Cambria"/>
          <w:sz w:val="22"/>
          <w:lang w:val="en-US"/>
        </w:rPr>
        <w:instrText>ADDIN CSL_CITATION {"citationItems":[{"id":"ITEM-1","itemData":{"abstract":"… Perbedaan kepentingan ekonomis dapat menyebabkan timbulnyakesenjangan informasi antara prinsipal dan agen … Tahun 2012 – 2016), e- Proceeding of Management, Vol 5 No 2. Mayangsari, VR, 2015, Analisis Faktor-Faktor yang Mempengaruhi Penghindaran Pajak …","author":[{"dropping-particle":"","family":"Putri","given":"Nadia","non-dropping-particle":"","parse-names":false,"suffix":""},{"dropping-particle":"","family":"Mulyani","given":"Susi Dwi","non-dropping-particle":"","parse-names":false,"suffix":""}],"container-title":"Prosiding Seminar Nasional Pakar","id":"ITEM-1","issue":"2","issued":{"date-parts":[["2020"]]},"page":"1-9","title":"Pengaruh Transfer Pricing Dan Kepemilikan Asing Terhadap Praktik Penghindaran Pajak (Tax Avoidance)Dengan Pengungkapan Corporate Social Responsibility (Csr)Sebagai Variabel Moderasi","type":"article-journal","volume":"1"},"uris":["http://www.mendeley.com/documents/?uuid=c93213ec-75e2-4317-bbd5-b91d294a09ba"]}],"mendeley":{"formattedCitation":"(N. Putri &amp; Mulyani, 2020)","plainTextFormattedCitation":"(N. Putri &amp; Mulyani, 2020)","previouslyFormattedCitation":"(N. Putri &amp; Mulyani, 2020)"},"properties":{"noteIndex":0},"schema":"https://github.com/citation-style-language/schema/raw/master/csl-citation.json"}</w:instrText>
      </w:r>
      <w:r w:rsidRPr="00C5133C">
        <w:rPr>
          <w:rFonts w:ascii="Cambria" w:hAnsi="Cambria"/>
          <w:sz w:val="22"/>
          <w:lang w:val="en-US"/>
        </w:rPr>
        <w:fldChar w:fldCharType="separate"/>
      </w:r>
      <w:r w:rsidRPr="00C5133C">
        <w:rPr>
          <w:rFonts w:ascii="Cambria" w:hAnsi="Cambria"/>
          <w:noProof/>
          <w:sz w:val="22"/>
          <w:lang w:val="en-US"/>
        </w:rPr>
        <w:t>(N. Putri &amp; Mulyani, 2020)</w:t>
      </w:r>
      <w:r w:rsidRPr="00C5133C">
        <w:rPr>
          <w:rFonts w:ascii="Cambria" w:hAnsi="Cambria"/>
          <w:sz w:val="22"/>
          <w:lang w:val="en-US"/>
        </w:rPr>
        <w:fldChar w:fldCharType="end"/>
      </w:r>
      <w:r w:rsidRPr="00C5133C">
        <w:rPr>
          <w:rFonts w:ascii="Cambria" w:hAnsi="Cambria"/>
          <w:sz w:val="22"/>
        </w:rPr>
        <w:t xml:space="preserve">. </w:t>
      </w:r>
      <w:r w:rsidRPr="00C5133C">
        <w:rPr>
          <w:rFonts w:ascii="Cambria" w:hAnsi="Cambria"/>
          <w:i/>
          <w:iCs/>
          <w:sz w:val="22"/>
        </w:rPr>
        <w:t>Organization for Economic Cooperation and</w:t>
      </w:r>
      <w:r w:rsidRPr="00C5133C">
        <w:rPr>
          <w:rFonts w:ascii="Cambria" w:hAnsi="Cambria"/>
          <w:i/>
          <w:iCs/>
          <w:sz w:val="22"/>
          <w:lang w:val="en-US"/>
        </w:rPr>
        <w:t xml:space="preserve"> </w:t>
      </w:r>
      <w:r w:rsidRPr="00C5133C">
        <w:rPr>
          <w:rFonts w:ascii="Cambria" w:hAnsi="Cambria"/>
          <w:i/>
          <w:iCs/>
          <w:sz w:val="22"/>
        </w:rPr>
        <w:t>Development (OECD)</w:t>
      </w:r>
      <w:r w:rsidRPr="00C5133C">
        <w:rPr>
          <w:rFonts w:ascii="Cambria" w:hAnsi="Cambria"/>
          <w:i/>
          <w:iCs/>
          <w:sz w:val="22"/>
          <w:lang w:val="en-US"/>
        </w:rPr>
        <w:t xml:space="preserve"> </w:t>
      </w:r>
      <w:r w:rsidRPr="00C5133C">
        <w:rPr>
          <w:rFonts w:ascii="Cambria" w:hAnsi="Cambria"/>
          <w:iCs/>
          <w:sz w:val="22"/>
          <w:lang w:val="en-US"/>
        </w:rPr>
        <w:t xml:space="preserve">dalam </w:t>
      </w:r>
      <w:r w:rsidRPr="00C5133C">
        <w:rPr>
          <w:rFonts w:ascii="Cambria" w:hAnsi="Cambria"/>
          <w:sz w:val="22"/>
          <w:lang w:val="en-US"/>
        </w:rPr>
        <w:fldChar w:fldCharType="begin" w:fldLock="1"/>
      </w:r>
      <w:r w:rsidRPr="00C5133C">
        <w:rPr>
          <w:rFonts w:ascii="Cambria" w:hAnsi="Cambria"/>
          <w:sz w:val="22"/>
          <w:lang w:val="en-US"/>
        </w:rPr>
        <w:instrText>ADDIN CSL_CITATION {"citationItems":[{"id":"ITEM-1","itemData":{"author":[{"dropping-particle":"","family":"Rasyid","given":"Achmad Sofyan","non-dropping-particle":"","parse-names":false,"suffix":""},{"dropping-particle":"","family":"Sumbiharsih","given":"Diah","non-dropping-particle":"","parse-names":false,"suffix":""},{"dropping-particle":"","family":"Bella","given":"Manggala","non-dropping-particle":"","parse-names":false,"suffix":""},{"dropping-particle":"","family":"Utama","given":"Adi","non-dropping-particle":"","parse-names":false,"suffix":""},{"dropping-particle":"","family":"Studi","given":"Program","non-dropping-particle":"","parse-names":false,"suffix":""},{"dropping-particle":"","family":"Manajemen","given":"Magister","non-dropping-particle":"","parse-names":false,"suffix":""},{"dropping-particle":"","family":"Pamulang","given":"Universitas","non-dropping-particle":"","parse-names":false,"suffix":""}],"id":"ITEM-1","issue":"2","issued":{"date-parts":[["2021"]]},"page":"1-10","title":"Humanis2021","type":"article-journal","volume":"1"},"uris":["http://www.mendeley.com/documents/?uuid=99694221-3ed2-4959-914f-7367b02048be"]}],"mendeley":{"formattedCitation":"(Rasyid et al., 2021)","plainTextFormattedCitation":"(Rasyid et al., 2021)","previouslyFormattedCitation":"(Rasyid et al., 2021)"},"properties":{"noteIndex":0},"schema":"https://github.com/citation-style-language/schema/raw/master/csl-citation.json"}</w:instrText>
      </w:r>
      <w:r w:rsidRPr="00C5133C">
        <w:rPr>
          <w:rFonts w:ascii="Cambria" w:hAnsi="Cambria"/>
          <w:sz w:val="22"/>
          <w:lang w:val="en-US"/>
        </w:rPr>
        <w:fldChar w:fldCharType="separate"/>
      </w:r>
      <w:r w:rsidRPr="00C5133C">
        <w:rPr>
          <w:rFonts w:ascii="Cambria" w:hAnsi="Cambria"/>
          <w:noProof/>
          <w:sz w:val="22"/>
          <w:lang w:val="en-US"/>
        </w:rPr>
        <w:t xml:space="preserve">(Rasyid </w:t>
      </w:r>
      <w:r w:rsidRPr="00C5133C">
        <w:rPr>
          <w:rFonts w:ascii="Cambria" w:hAnsi="Cambria"/>
          <w:i/>
          <w:noProof/>
          <w:sz w:val="22"/>
          <w:lang w:val="en-US"/>
        </w:rPr>
        <w:t>et al.</w:t>
      </w:r>
      <w:r w:rsidRPr="00C5133C">
        <w:rPr>
          <w:rFonts w:ascii="Cambria" w:hAnsi="Cambria"/>
          <w:noProof/>
          <w:sz w:val="22"/>
          <w:lang w:val="en-US"/>
        </w:rPr>
        <w:t>, 2021)</w:t>
      </w:r>
      <w:r w:rsidRPr="00C5133C">
        <w:rPr>
          <w:rFonts w:ascii="Cambria" w:hAnsi="Cambria"/>
          <w:sz w:val="22"/>
          <w:lang w:val="en-US"/>
        </w:rPr>
        <w:fldChar w:fldCharType="end"/>
      </w:r>
      <w:r w:rsidRPr="00C5133C">
        <w:rPr>
          <w:rFonts w:ascii="Cambria" w:hAnsi="Cambria"/>
          <w:i/>
          <w:iCs/>
          <w:sz w:val="22"/>
          <w:lang w:val="en-US"/>
        </w:rPr>
        <w:t xml:space="preserve"> </w:t>
      </w:r>
      <w:r w:rsidRPr="00C5133C">
        <w:rPr>
          <w:rFonts w:ascii="Cambria" w:hAnsi="Cambria"/>
          <w:sz w:val="22"/>
        </w:rPr>
        <w:t xml:space="preserve">memberikan definisi </w:t>
      </w:r>
      <w:r w:rsidRPr="00C5133C">
        <w:rPr>
          <w:rFonts w:ascii="Cambria" w:hAnsi="Cambria"/>
          <w:i/>
          <w:iCs/>
          <w:sz w:val="22"/>
        </w:rPr>
        <w:t xml:space="preserve">transfer pricing </w:t>
      </w:r>
      <w:r w:rsidRPr="00C5133C">
        <w:rPr>
          <w:rFonts w:ascii="Cambria" w:hAnsi="Cambria"/>
          <w:sz w:val="22"/>
        </w:rPr>
        <w:t>sebagai</w:t>
      </w:r>
      <w:r w:rsidRPr="00C5133C">
        <w:rPr>
          <w:rFonts w:ascii="Cambria" w:hAnsi="Cambria"/>
          <w:sz w:val="22"/>
          <w:lang w:val="en-US"/>
        </w:rPr>
        <w:t xml:space="preserve"> metode penentuan harga transaksi yang umum digunakan pada perusahaan multinasional dimana harga transaksi dapat diatur sedemikian rupa untuk dapat memenuhi tujuan perusahaan. </w:t>
      </w:r>
      <w:r w:rsidRPr="00C5133C">
        <w:rPr>
          <w:rFonts w:ascii="Cambria" w:hAnsi="Cambria" w:cs="Times New Roman"/>
          <w:i/>
          <w:sz w:val="22"/>
          <w:lang w:val="en-US"/>
        </w:rPr>
        <w:t>Transfer pricing</w:t>
      </w:r>
      <w:r w:rsidRPr="00C5133C">
        <w:rPr>
          <w:rFonts w:ascii="Cambria" w:hAnsi="Cambria" w:cs="Times New Roman"/>
          <w:sz w:val="22"/>
          <w:lang w:val="en-US"/>
        </w:rPr>
        <w:t xml:space="preserve"> juga merupakan alat yang sering digunakan untuk melakukan penghindaran pajak </w:t>
      </w:r>
      <w:r w:rsidRPr="00C5133C">
        <w:rPr>
          <w:rFonts w:ascii="Cambria" w:hAnsi="Cambria" w:cs="Times New Roman"/>
          <w:i/>
          <w:sz w:val="22"/>
          <w:lang w:val="en-US"/>
        </w:rPr>
        <w:fldChar w:fldCharType="begin" w:fldLock="1"/>
      </w:r>
      <w:r w:rsidRPr="00C5133C">
        <w:rPr>
          <w:rFonts w:ascii="Cambria" w:hAnsi="Cambria" w:cs="Times New Roman"/>
          <w:i/>
          <w:sz w:val="22"/>
          <w:lang w:val="en-US"/>
        </w:rPr>
        <w:instrText>ADDIN CSL_CITATION {"citationItems":[{"id":"ITEM-1","itemData":{"DOI":"10.17509/jpak.v6i2.15916","ISSN":"2337-408X","abstract":"AbstractThis study aims to examine the effect of transfer pricing on tax avoidance. The independent variable used in this study is transfer pricing. While the dependent variable used in this study is tax avoidance, which is measured using the effective tax rate (GAAP-ETR). The population in this study amounted to 15 multinational manufacturing sector companies listed on the Indonesia Stock Exchange (IDX) during the 2014-2017 period. Determination of research samples using purposive sampling method and obtained a sample of 9 multinational manufacturing companies based on certain criteria. The results of the study show that transfer pricing has an effect but not significantly on tax avoidance. Key Word. transfer pricing; tax avodiance AbstrakPenelitian ini bertujuan untuk menguji pengaruh transfer pricing terhadap penghindaran pajak (tax avoidance). Variabel independen yang digunakan dalam penelitian ini adalah transfer pricing. Sedangkan variabel dependen yang digunakan dalam penelitian ini adalah penghindaran pajak (tax avoidance) yang diukur menggunakan effective tax rate (GAAP-ETR). Populasi dalam penelitian ini berjumlah 15 perusahaan sektor manufaktur multinasional yang terdaftar di Bursa Efek Indonesia (BEI) selama periode 2014-2017. Penentuan sampel penelitian menggunakan metode purposive sampling dan memperoleh sampel sebanyak 9 perusahaan manufaktur multinasional berdasarkan kriteria tertentu. Hasil penelitian menunjukan bahwa transfer pricing berpengaruh tetapi tidak signifikan terhadap penghindaran pajak (tax avoidance). Kata Kunci. transfer pricing; penghindaran pajak","author":[{"dropping-particle":"","family":"Panjalusman","given":"Paskalis A","non-dropping-particle":"","parse-names":false,"suffix":""},{"dropping-particle":"","family":"Nugraha","given":"Erik","non-dropping-particle":"","parse-names":false,"suffix":""},{"dropping-particle":"","family":"Setiawan","given":"Audita","non-dropping-particle":"","parse-names":false,"suffix":""}],"container-title":"Jurnal Pendidikan Akuntansi &amp; Keuangan","id":"ITEM-1","issue":"2","issued":{"date-parts":[["2018"]]},"page":"105","title":"Pengaruh Transfer Pricing Terhadap Penghindaran Pajak","type":"article-journal","volume":"6"},"uris":["http://www.mendeley.com/documents/?uuid=d3fbc370-fadd-4ff1-b20c-cc722e2365cf"]}],"mendeley":{"formattedCitation":"(Panjalusman et al., 2018)","plainTextFormattedCitation":"(Panjalusman et al., 2018)","previouslyFormattedCitation":"(Panjalusman et al., 2018)"},"properties":{"noteIndex":0},"schema":"https://github.com/citation-style-language/schema/raw/master/csl-citation.json"}</w:instrText>
      </w:r>
      <w:r w:rsidRPr="00C5133C">
        <w:rPr>
          <w:rFonts w:ascii="Cambria" w:hAnsi="Cambria" w:cs="Times New Roman"/>
          <w:i/>
          <w:sz w:val="22"/>
          <w:lang w:val="en-US"/>
        </w:rPr>
        <w:fldChar w:fldCharType="separate"/>
      </w:r>
      <w:r w:rsidRPr="00C5133C">
        <w:rPr>
          <w:rFonts w:ascii="Cambria" w:hAnsi="Cambria" w:cs="Times New Roman"/>
          <w:noProof/>
          <w:sz w:val="22"/>
          <w:lang w:val="en-US"/>
        </w:rPr>
        <w:t xml:space="preserve">(Panjalusman </w:t>
      </w:r>
      <w:r w:rsidRPr="00C5133C">
        <w:rPr>
          <w:rFonts w:ascii="Cambria" w:hAnsi="Cambria" w:cs="Times New Roman"/>
          <w:i/>
          <w:noProof/>
          <w:sz w:val="22"/>
          <w:lang w:val="en-US"/>
        </w:rPr>
        <w:t>et al.</w:t>
      </w:r>
      <w:r w:rsidRPr="00C5133C">
        <w:rPr>
          <w:rFonts w:ascii="Cambria" w:hAnsi="Cambria" w:cs="Times New Roman"/>
          <w:noProof/>
          <w:sz w:val="22"/>
          <w:lang w:val="en-US"/>
        </w:rPr>
        <w:t>, 2018)</w:t>
      </w:r>
      <w:r w:rsidRPr="00C5133C">
        <w:rPr>
          <w:rFonts w:ascii="Cambria" w:hAnsi="Cambria" w:cs="Times New Roman"/>
          <w:i/>
          <w:sz w:val="22"/>
          <w:lang w:val="en-US"/>
        </w:rPr>
        <w:fldChar w:fldCharType="end"/>
      </w:r>
      <w:r w:rsidRPr="00C5133C">
        <w:rPr>
          <w:rFonts w:ascii="Cambria" w:hAnsi="Cambria" w:cs="Times New Roman"/>
          <w:i/>
          <w:sz w:val="22"/>
          <w:lang w:val="en-US"/>
        </w:rPr>
        <w:t xml:space="preserve">. </w:t>
      </w:r>
      <w:r w:rsidRPr="00C5133C">
        <w:rPr>
          <w:rFonts w:ascii="Cambria" w:hAnsi="Cambria" w:cs="Times New Roman"/>
          <w:sz w:val="22"/>
          <w:lang w:val="en-US"/>
        </w:rPr>
        <w:t xml:space="preserve">Penghindaran pajak dengan </w:t>
      </w:r>
      <w:r w:rsidRPr="00C5133C">
        <w:rPr>
          <w:rFonts w:ascii="Cambria" w:hAnsi="Cambria" w:cs="Times New Roman"/>
          <w:i/>
          <w:iCs/>
          <w:sz w:val="22"/>
          <w:lang w:val="en-US"/>
        </w:rPr>
        <w:t>transfer pricing</w:t>
      </w:r>
      <w:r w:rsidRPr="00C5133C">
        <w:rPr>
          <w:rFonts w:ascii="Cambria" w:hAnsi="Cambria" w:cs="Times New Roman"/>
          <w:sz w:val="22"/>
          <w:lang w:val="en-US"/>
        </w:rPr>
        <w:t xml:space="preserve"> dapat dilakukan dengan </w:t>
      </w:r>
      <w:r w:rsidRPr="00C5133C">
        <w:rPr>
          <w:rFonts w:ascii="Cambria" w:hAnsi="Cambria" w:cs="Times New Roman"/>
          <w:sz w:val="22"/>
          <w:lang w:val="en-US"/>
        </w:rPr>
        <w:lastRenderedPageBreak/>
        <w:t xml:space="preserve">mengatur harga transaksi antar perusahaan berelasi di negara berbeda </w:t>
      </w:r>
      <w:r w:rsidRPr="00C5133C">
        <w:rPr>
          <w:rFonts w:ascii="Cambria" w:hAnsi="Cambria" w:cs="Times New Roman"/>
          <w:sz w:val="22"/>
          <w:lang w:val="en-US"/>
        </w:rPr>
        <w:fldChar w:fldCharType="begin" w:fldLock="1"/>
      </w:r>
      <w:r w:rsidRPr="00C5133C">
        <w:rPr>
          <w:rFonts w:ascii="Cambria" w:hAnsi="Cambria" w:cs="Times New Roman"/>
          <w:sz w:val="22"/>
          <w:lang w:val="en-US"/>
        </w:rPr>
        <w:instrText>ADDIN CSL_CITATION {"citationItems":[{"id":"ITEM-1","itemData":{"DOI":"https://doi.org/10.1016/j.intacc.2012.10.004","ISSN":"0020-7063","abstract":"This paper examines the international corporate tax avoidance practices of publicly listed Australian firms. Based on a hand-collected sample of 203 publicly listed Australian firms over the 2006–2009 period (812 firm-years), our regression results indicate that there are several practices Australian firms use to aggressively reduce their tax liabilities. Specifically, we find that thin capitalization, transfer pricing, income shifting, multinationality, and tax haven utilization are significantly associated with tax avoidance. In fact, based on the magnitude and significance levels of the regression coefficients in our study, thin capitalization and transfer pricing represent the primary drivers of tax avoidance, whereas income shifting and tax haven utilization are less important. Finally, our additional regression results show that tax havens are likely to be used together with thin capitalization and transfer pricing to maximize international tax avoidance opportunities via the increased complexity of transactions carried out through tax havens.","author":[{"dropping-particle":"","family":"Taylor","given":"Grantley","non-dropping-particle":"","parse-names":false,"suffix":""},{"dropping-particle":"","family":"Richardson","given":"Grant","non-dropping-particle":"","parse-names":false,"suffix":""}],"container-title":"The International Journal of Accounting","id":"ITEM-1","issue":"4","issued":{"date-parts":[["2012"]]},"page":"469-496","title":"International Corporate Tax Avoidance Practices: Evidence from Australian Firms","type":"article-journal","volume":"47"},"uris":["http://www.mendeley.com/documents/?uuid=ce40baea-6780-4c60-97a1-f3f9976fdd56"]}],"mendeley":{"formattedCitation":"(Taylor &amp; Richardson, 2012)","plainTextFormattedCitation":"(Taylor &amp; Richardson, 2012)","previouslyFormattedCitation":"(Taylor &amp; Richardson, 2012)"},"properties":{"noteIndex":0},"schema":"https://github.com/citation-style-language/schema/raw/master/csl-citation.json"}</w:instrText>
      </w:r>
      <w:r w:rsidRPr="00C5133C">
        <w:rPr>
          <w:rFonts w:ascii="Cambria" w:hAnsi="Cambria" w:cs="Times New Roman"/>
          <w:sz w:val="22"/>
          <w:lang w:val="en-US"/>
        </w:rPr>
        <w:fldChar w:fldCharType="separate"/>
      </w:r>
      <w:r w:rsidRPr="00C5133C">
        <w:rPr>
          <w:rFonts w:ascii="Cambria" w:hAnsi="Cambria" w:cs="Times New Roman"/>
          <w:noProof/>
          <w:sz w:val="22"/>
          <w:lang w:val="en-US"/>
        </w:rPr>
        <w:t>(Taylor &amp; Richardson, 2012)</w:t>
      </w:r>
      <w:r w:rsidRPr="00C5133C">
        <w:rPr>
          <w:rFonts w:ascii="Cambria" w:hAnsi="Cambria" w:cs="Times New Roman"/>
          <w:sz w:val="22"/>
          <w:lang w:val="en-US"/>
        </w:rPr>
        <w:fldChar w:fldCharType="end"/>
      </w:r>
      <w:r w:rsidRPr="00C5133C">
        <w:rPr>
          <w:rFonts w:ascii="Cambria" w:hAnsi="Cambria" w:cs="Times New Roman"/>
          <w:sz w:val="22"/>
          <w:lang w:val="en-US"/>
        </w:rPr>
        <w:t xml:space="preserve"> atau dengan memanfaatkan perbedaan ekonomi, keuangan dan peraturan antar wilayah yurisdiksi yang berbeda </w:t>
      </w:r>
      <w:r w:rsidRPr="00C5133C">
        <w:rPr>
          <w:rFonts w:ascii="Cambria" w:hAnsi="Cambria" w:cs="Times New Roman"/>
          <w:sz w:val="22"/>
          <w:lang w:val="en-US"/>
        </w:rPr>
        <w:fldChar w:fldCharType="begin" w:fldLock="1"/>
      </w:r>
      <w:r w:rsidRPr="00C5133C">
        <w:rPr>
          <w:rFonts w:ascii="Cambria" w:hAnsi="Cambria" w:cs="Times New Roman"/>
          <w:sz w:val="22"/>
          <w:lang w:val="en-US"/>
        </w:rPr>
        <w:instrText>ADDIN CSL_CITATION {"citationItems":[{"id":"ITEM-1","itemData":{"abstract":"Transfer pricing is the setting of prices for transfers within the multinational enterprise (MNE). While transfer prices may be set for purely internal reasons there are often strong external motivations to engage in transfer price manipulation (over/under invoicing). In this paper, we explore the ethics of transfer pricing, focusing on two different views: moral ethics and tax ethics. We draw insights from the tax fraud and fraud triangle literatures to develop the concept of abusive transfer pricing, and propose changes in accounting standards and global norms to reduce abusive transfer pricing.","author":[{"dropping-particle":"","family":"Smith","given":"L Murphy","non-dropping-particle":"","parse-names":false,"suffix":""}],"container-title":"AOS Workshop on \"Fraud in Accounting, Organizations, and Society\"","id":"ITEM-1","issue":"September 2009","issued":{"date-parts":[["2011"]]},"page":"1-40","title":"The Ethics of Transfer Pricing","type":"article-journal"},"uris":["http://www.mendeley.com/documents/?uuid=1785b82c-e3a1-44ae-b988-fc5ea705a269"]}],"mendeley":{"formattedCitation":"(Smith, 2011)","plainTextFormattedCitation":"(Smith, 2011)","previouslyFormattedCitation":"(Smith, 2011)"},"properties":{"noteIndex":0},"schema":"https://github.com/citation-style-language/schema/raw/master/csl-citation.json"}</w:instrText>
      </w:r>
      <w:r w:rsidRPr="00C5133C">
        <w:rPr>
          <w:rFonts w:ascii="Cambria" w:hAnsi="Cambria" w:cs="Times New Roman"/>
          <w:sz w:val="22"/>
          <w:lang w:val="en-US"/>
        </w:rPr>
        <w:fldChar w:fldCharType="separate"/>
      </w:r>
      <w:r w:rsidRPr="00C5133C">
        <w:rPr>
          <w:rFonts w:ascii="Cambria" w:hAnsi="Cambria" w:cs="Times New Roman"/>
          <w:noProof/>
          <w:sz w:val="22"/>
          <w:lang w:val="en-US"/>
        </w:rPr>
        <w:t>(Smith, 2011)</w:t>
      </w:r>
      <w:r w:rsidRPr="00C5133C">
        <w:rPr>
          <w:rFonts w:ascii="Cambria" w:hAnsi="Cambria" w:cs="Times New Roman"/>
          <w:sz w:val="22"/>
          <w:lang w:val="en-US"/>
        </w:rPr>
        <w:fldChar w:fldCharType="end"/>
      </w:r>
      <w:r w:rsidRPr="00C5133C">
        <w:rPr>
          <w:rFonts w:ascii="Cambria" w:hAnsi="Cambria" w:cs="Times New Roman"/>
          <w:sz w:val="22"/>
          <w:lang w:val="en-US"/>
        </w:rPr>
        <w:t xml:space="preserve">. Seperti halnya dengan praktik manajemen laba, praktik </w:t>
      </w:r>
      <w:r w:rsidRPr="00C5133C">
        <w:rPr>
          <w:rFonts w:ascii="Cambria" w:hAnsi="Cambria" w:cs="Times New Roman"/>
          <w:i/>
          <w:sz w:val="22"/>
          <w:lang w:val="en-US"/>
        </w:rPr>
        <w:t xml:space="preserve">transfer pricing </w:t>
      </w:r>
      <w:r w:rsidRPr="00C5133C">
        <w:rPr>
          <w:rFonts w:ascii="Cambria" w:hAnsi="Cambria" w:cs="Times New Roman"/>
          <w:sz w:val="22"/>
          <w:lang w:val="en-US"/>
        </w:rPr>
        <w:t xml:space="preserve">bukanlah praktik yang ilegal, walaupun praktik ini menyalahi prinsip-prinsip etis. </w:t>
      </w:r>
      <w:r w:rsidR="00C374C8" w:rsidRPr="00C5133C">
        <w:rPr>
          <w:rFonts w:ascii="Cambria" w:hAnsi="Cambria" w:cs="Times New Roman"/>
          <w:sz w:val="22"/>
          <w:lang w:val="en-US"/>
        </w:rPr>
        <w:t xml:space="preserve">Selain itu, penelitian terkait </w:t>
      </w:r>
      <w:r w:rsidR="00C374C8" w:rsidRPr="00C5133C">
        <w:rPr>
          <w:rFonts w:ascii="Cambria" w:hAnsi="Cambria" w:cs="Times New Roman"/>
          <w:i/>
          <w:iCs/>
          <w:sz w:val="22"/>
          <w:lang w:val="en-US"/>
        </w:rPr>
        <w:t>transfer pricing</w:t>
      </w:r>
      <w:r w:rsidR="00C374C8" w:rsidRPr="00C5133C">
        <w:rPr>
          <w:rFonts w:ascii="Cambria" w:hAnsi="Cambria" w:cs="Times New Roman"/>
          <w:sz w:val="22"/>
          <w:lang w:val="en-US"/>
        </w:rPr>
        <w:t xml:space="preserve"> juga masih menunjukkan hasil yang beragam.</w:t>
      </w:r>
      <w:r w:rsidRPr="00C5133C">
        <w:rPr>
          <w:rFonts w:ascii="Cambria" w:hAnsi="Cambria"/>
          <w:i/>
          <w:iCs/>
          <w:sz w:val="22"/>
        </w:rPr>
        <w:t xml:space="preserve"> </w:t>
      </w:r>
      <w:r w:rsidR="00C374C8" w:rsidRPr="00C5133C">
        <w:rPr>
          <w:rFonts w:ascii="Cambria" w:hAnsi="Cambria" w:cs="Times New Roman"/>
          <w:sz w:val="22"/>
          <w:lang w:val="en-US"/>
        </w:rPr>
        <w:fldChar w:fldCharType="begin" w:fldLock="1"/>
      </w:r>
      <w:r w:rsidR="00C374C8" w:rsidRPr="00C5133C">
        <w:rPr>
          <w:rFonts w:ascii="Cambria" w:hAnsi="Cambria" w:cs="Times New Roman"/>
          <w:sz w:val="22"/>
          <w:lang w:val="en-US"/>
        </w:rPr>
        <w:instrText>ADDIN CSL_CITATION {"citationItems":[{"id":"ITEM-1","itemData":{"DOI":"10.17509/jpak.v6i2.15916","ISSN":"2337-408X","abstract":"AbstractThis study aims to examine the effect of transfer pricing on tax avoidance. The independent variable used in this study is transfer pricing. While the dependent variable used in this study is tax avoidance, which is measured using the effective tax rate (GAAP-ETR). The population in this study amounted to 15 multinational manufacturing sector companies listed on the Indonesia Stock Exchange (IDX) during the 2014-2017 period. Determination of research samples using purposive sampling method and obtained a sample of 9 multinational manufacturing companies based on certain criteria. The results of the study show that transfer pricing has an effect but not significantly on tax avoidance. Key Word. transfer pricing; tax avodiance AbstrakPenelitian ini bertujuan untuk menguji pengaruh transfer pricing terhadap penghindaran pajak (tax avoidance). Variabel independen yang digunakan dalam penelitian ini adalah transfer pricing. Sedangkan variabel dependen yang digunakan dalam penelitian ini adalah penghindaran pajak (tax avoidance) yang diukur menggunakan effective tax rate (GAAP-ETR). Populasi dalam penelitian ini berjumlah 15 perusahaan sektor manufaktur multinasional yang terdaftar di Bursa Efek Indonesia (BEI) selama periode 2014-2017. Penentuan sampel penelitian menggunakan metode purposive sampling dan memperoleh sampel sebanyak 9 perusahaan manufaktur multinasional berdasarkan kriteria tertentu. Hasil penelitian menunjukan bahwa transfer pricing berpengaruh tetapi tidak signifikan terhadap penghindaran pajak (tax avoidance). Kata Kunci. transfer pricing; penghindaran pajak","author":[{"dropping-particle":"","family":"Panjalusman","given":"Paskalis A","non-dropping-particle":"","parse-names":false,"suffix":""},{"dropping-particle":"","family":"Nugraha","given":"Erik","non-dropping-particle":"","parse-names":false,"suffix":""},{"dropping-particle":"","family":"Setiawan","given":"Audita","non-dropping-particle":"","parse-names":false,"suffix":""}],"container-title":"Jurnal Pendidikan Akuntansi &amp; Keuangan","id":"ITEM-1","issue":"2","issued":{"date-parts":[["2018"]]},"page":"105","title":"Pengaruh Transfer Pricing Terhadap Penghindaran Pajak","type":"article-journal","volume":"6"},"uris":["http://www.mendeley.com/documents/?uuid=d3fbc370-fadd-4ff1-b20c-cc722e2365cf"]}],"mendeley":{"formattedCitation":"(Panjalusman et al., 2018)","manualFormatting":"Panjalusman et al., (2018)","plainTextFormattedCitation":"(Panjalusman et al., 2018)","previouslyFormattedCitation":"(Panjalusman et al., 2018)"},"properties":{"noteIndex":0},"schema":"https://github.com/citation-style-language/schema/raw/master/csl-citation.json"}</w:instrText>
      </w:r>
      <w:r w:rsidR="00C374C8" w:rsidRPr="00C5133C">
        <w:rPr>
          <w:rFonts w:ascii="Cambria" w:hAnsi="Cambria" w:cs="Times New Roman"/>
          <w:sz w:val="22"/>
          <w:lang w:val="en-US"/>
        </w:rPr>
        <w:fldChar w:fldCharType="separate"/>
      </w:r>
      <w:r w:rsidR="00C374C8" w:rsidRPr="00C5133C">
        <w:rPr>
          <w:rFonts w:ascii="Cambria" w:hAnsi="Cambria" w:cs="Times New Roman"/>
          <w:noProof/>
          <w:sz w:val="22"/>
          <w:lang w:val="en-US"/>
        </w:rPr>
        <w:t xml:space="preserve">Panjalusman </w:t>
      </w:r>
      <w:r w:rsidR="00BF2898" w:rsidRPr="00C5133C">
        <w:rPr>
          <w:rFonts w:ascii="Cambria" w:hAnsi="Cambria" w:cs="Times New Roman"/>
          <w:i/>
          <w:noProof/>
          <w:sz w:val="22"/>
          <w:lang w:val="en-US"/>
        </w:rPr>
        <w:t>et al.</w:t>
      </w:r>
      <w:r w:rsidR="00C374C8" w:rsidRPr="00C5133C">
        <w:rPr>
          <w:rFonts w:ascii="Cambria" w:hAnsi="Cambria" w:cs="Times New Roman"/>
          <w:noProof/>
          <w:sz w:val="22"/>
          <w:lang w:val="en-US"/>
        </w:rPr>
        <w:t>, (2018)</w:t>
      </w:r>
      <w:r w:rsidR="00C374C8" w:rsidRPr="00C5133C">
        <w:rPr>
          <w:rFonts w:ascii="Cambria" w:hAnsi="Cambria" w:cs="Times New Roman"/>
          <w:sz w:val="22"/>
          <w:lang w:val="en-US"/>
        </w:rPr>
        <w:fldChar w:fldCharType="end"/>
      </w:r>
      <w:r w:rsidR="00C374C8" w:rsidRPr="00C5133C">
        <w:rPr>
          <w:rFonts w:ascii="Cambria" w:hAnsi="Cambria" w:cs="Times New Roman"/>
          <w:sz w:val="22"/>
          <w:lang w:val="en-US"/>
        </w:rPr>
        <w:t xml:space="preserve"> menyimpulkan bahwa </w:t>
      </w:r>
      <w:r w:rsidR="00C374C8" w:rsidRPr="00C5133C">
        <w:rPr>
          <w:rFonts w:ascii="Cambria" w:hAnsi="Cambria" w:cs="Times New Roman"/>
          <w:i/>
          <w:sz w:val="22"/>
          <w:lang w:val="en-US"/>
        </w:rPr>
        <w:t>transfer pricing</w:t>
      </w:r>
      <w:r w:rsidR="00C374C8" w:rsidRPr="00C5133C">
        <w:rPr>
          <w:rFonts w:ascii="Cambria" w:hAnsi="Cambria" w:cs="Times New Roman"/>
          <w:sz w:val="22"/>
          <w:lang w:val="en-US"/>
        </w:rPr>
        <w:t xml:space="preserve"> berdampak tidak signifikan, </w:t>
      </w:r>
      <w:r w:rsidR="00C374C8" w:rsidRPr="00C5133C">
        <w:rPr>
          <w:rFonts w:ascii="Cambria" w:hAnsi="Cambria" w:cs="Times New Roman"/>
          <w:sz w:val="22"/>
          <w:lang w:val="en-US"/>
        </w:rPr>
        <w:fldChar w:fldCharType="begin" w:fldLock="1"/>
      </w:r>
      <w:r w:rsidR="00C374C8" w:rsidRPr="00C5133C">
        <w:rPr>
          <w:rFonts w:ascii="Cambria" w:hAnsi="Cambria" w:cs="Times New Roman"/>
          <w:sz w:val="22"/>
          <w:lang w:val="en-US"/>
        </w:rPr>
        <w:instrText>ADDIN CSL_CITATION {"citationItems":[{"id":"ITEM-1","itemData":{"ISSN":"1869-0459","abstract":"Transfer Pricing has been deployed by most companies to optimize their after tax profit. On the other hands, earning management can also be used to achieve similar objective. This study aims to investigate the impact of transfer pricing, accrual earnings management, and real earning management on tax avoidance. To Test the hypotheses we used multiple linear regression models. The sample in this study was 63 manufacturing companies listed on the IDX with a research period of 2014-2017. The results show that transfer pricing has a significant negative effect on tax avoidance. It means companies do not use transfer pricing activities as a medium of tax avoidance. In contrast, accrual earning management has a significant positive effect on tax avoidance, meaning that earnings management through accrual activity is used by companies to carry out tax avoidance. Furthermore, real earning management has a significant negative effect on tax avoidance, meaning that the higher earnings management activities through real activities carried out by the company reduce the possibility of companies doing tax avoidance. ABSTRACT FROM AUTHOR","author":[{"dropping-particle":"","family":"Irawan","given":"Ferry","non-dropping-particle":"","parse-names":false,"suffix":""},{"dropping-particle":"","family":"Kinanti","given":"Annisa","non-dropping-particle":"","parse-names":false,"suffix":""},{"dropping-particle":"","family":"Suhendra","given":"Maman","non-dropping-particle":"","parse-names":false,"suffix":""}],"container-title":"Talent Development &amp; Excellence","id":"ITEM-1","issue":"September","issued":{"date-parts":[["2020"]]},"page":"3203-3216","title":"The Impact of Transfer Pricing and Earning Management on Tax Avoidance","type":"article-journal","volume":"12"},"uris":["http://www.mendeley.com/documents/?uuid=4bd11170-a7da-4ea6-a508-ed51037de471"]}],"mendeley":{"formattedCitation":"(Irawan et al., 2020)","manualFormatting":"Irawan et al., (2020)","plainTextFormattedCitation":"(Irawan et al., 2020)","previouslyFormattedCitation":"(Irawan et al., 2020)"},"properties":{"noteIndex":0},"schema":"https://github.com/citation-style-language/schema/raw/master/csl-citation.json"}</w:instrText>
      </w:r>
      <w:r w:rsidR="00C374C8" w:rsidRPr="00C5133C">
        <w:rPr>
          <w:rFonts w:ascii="Cambria" w:hAnsi="Cambria" w:cs="Times New Roman"/>
          <w:sz w:val="22"/>
          <w:lang w:val="en-US"/>
        </w:rPr>
        <w:fldChar w:fldCharType="separate"/>
      </w:r>
      <w:r w:rsidR="00C374C8" w:rsidRPr="00C5133C">
        <w:rPr>
          <w:rFonts w:ascii="Cambria" w:hAnsi="Cambria" w:cs="Times New Roman"/>
          <w:noProof/>
          <w:sz w:val="22"/>
          <w:lang w:val="en-US"/>
        </w:rPr>
        <w:t xml:space="preserve">Irawan </w:t>
      </w:r>
      <w:r w:rsidR="00BF2898" w:rsidRPr="00C5133C">
        <w:rPr>
          <w:rFonts w:ascii="Cambria" w:hAnsi="Cambria" w:cs="Times New Roman"/>
          <w:i/>
          <w:noProof/>
          <w:sz w:val="22"/>
          <w:lang w:val="en-US"/>
        </w:rPr>
        <w:t>et al.</w:t>
      </w:r>
      <w:r w:rsidR="00C374C8" w:rsidRPr="00C5133C">
        <w:rPr>
          <w:rFonts w:ascii="Cambria" w:hAnsi="Cambria" w:cs="Times New Roman"/>
          <w:noProof/>
          <w:sz w:val="22"/>
          <w:lang w:val="en-US"/>
        </w:rPr>
        <w:t>, (2020)</w:t>
      </w:r>
      <w:r w:rsidR="00C374C8" w:rsidRPr="00C5133C">
        <w:rPr>
          <w:rFonts w:ascii="Cambria" w:hAnsi="Cambria" w:cs="Times New Roman"/>
          <w:sz w:val="22"/>
          <w:lang w:val="en-US"/>
        </w:rPr>
        <w:fldChar w:fldCharType="end"/>
      </w:r>
      <w:r w:rsidR="00C374C8" w:rsidRPr="00C5133C">
        <w:rPr>
          <w:rFonts w:ascii="Cambria" w:hAnsi="Cambria" w:cs="Times New Roman"/>
          <w:sz w:val="22"/>
          <w:lang w:val="en-US"/>
        </w:rPr>
        <w:t xml:space="preserve"> menyimpulkan bahwa </w:t>
      </w:r>
      <w:r w:rsidR="00C374C8" w:rsidRPr="00C5133C">
        <w:rPr>
          <w:rFonts w:ascii="Cambria" w:hAnsi="Cambria" w:cs="Times New Roman"/>
          <w:i/>
          <w:iCs/>
          <w:sz w:val="22"/>
          <w:lang w:val="en-US"/>
        </w:rPr>
        <w:t>transfer pricing</w:t>
      </w:r>
      <w:r w:rsidR="00C374C8" w:rsidRPr="00C5133C">
        <w:rPr>
          <w:rFonts w:ascii="Cambria" w:hAnsi="Cambria" w:cs="Times New Roman"/>
          <w:sz w:val="22"/>
          <w:lang w:val="en-US"/>
        </w:rPr>
        <w:t xml:space="preserve"> berdampak negatif signifikan, d</w:t>
      </w:r>
      <w:r w:rsidR="00BF2898" w:rsidRPr="00C5133C">
        <w:rPr>
          <w:rFonts w:ascii="Cambria" w:hAnsi="Cambria" w:cs="Times New Roman"/>
          <w:sz w:val="22"/>
          <w:lang w:val="en-US"/>
        </w:rPr>
        <w:t>an</w:t>
      </w:r>
      <w:r w:rsidR="00C374C8" w:rsidRPr="00C5133C">
        <w:rPr>
          <w:rFonts w:ascii="Cambria" w:hAnsi="Cambria" w:cs="Times New Roman"/>
          <w:sz w:val="22"/>
          <w:lang w:val="en-US"/>
        </w:rPr>
        <w:t xml:space="preserve"> </w:t>
      </w:r>
      <w:r w:rsidR="00C374C8" w:rsidRPr="00C5133C">
        <w:rPr>
          <w:rFonts w:ascii="Cambria" w:hAnsi="Cambria" w:cs="Times New Roman"/>
          <w:sz w:val="22"/>
          <w:lang w:val="en-US"/>
        </w:rPr>
        <w:fldChar w:fldCharType="begin" w:fldLock="1"/>
      </w:r>
      <w:r w:rsidR="007A371B" w:rsidRPr="00C5133C">
        <w:rPr>
          <w:rFonts w:ascii="Cambria" w:hAnsi="Cambria" w:cs="Times New Roman"/>
          <w:sz w:val="22"/>
          <w:lang w:val="en-US"/>
        </w:rPr>
        <w:instrText>ADDIN CSL_CITATION {"citationItems":[{"id":"ITEM-1","itemData":{"DOI":"10.35829/econbank.v1i2.48","abstract":"The purpose of this study is knowing the effect of leverage, profitability, capital intensity, and earnings management on tax avoidance. The period of this study is 5 (five) years, from 2013 to 2017. The data used are secondary data. The population is mining sector companies listed on the Indonesia Stock Exchange from 2013 to 2017 with a total of 47 companies. The sample selection is determined by the purpose sampling method and the samples used are 11 companies with a total of 55 data. The data analysis method is multiple linear regression. The results show that profitability, capital intensity, and earnings management negatively affect tax avoidance. Leverage has no effect on tax avoidance.","author":[{"dropping-particle":"","family":"Rifai","given":"Ahmad","non-dropping-particle":"","parse-names":false,"suffix":""},{"dropping-particle":"","family":"Atiningsih","given":"Suci","non-dropping-particle":"","parse-names":false,"suffix":""}],"container-title":"ECONBANK: Journal of Economics and Banking","id":"ITEM-1","issue":"2","issued":{"date-parts":[["2019"]]},"page":"135-142","title":"Pengaruh Leverage, Profitabilitas, Capital Intensity, Manajemen Laba Terhadap Penghindaran Pajak","type":"article-journal","volume":"1"},"uris":["http://www.mendeley.com/documents/?uuid=dbf41dd0-9bd6-49ef-9070-154fb9510cc7"]}],"mendeley":{"formattedCitation":"(Rifai &amp; Atiningsih, 2019)","manualFormatting":"Rifai &amp; Atiningsih (2019)","plainTextFormattedCitation":"(Rifai &amp; Atiningsih, 2019)","previouslyFormattedCitation":"(Rifai &amp; Atiningsih, 2019)"},"properties":{"noteIndex":0},"schema":"https://github.com/citation-style-language/schema/raw/master/csl-citation.json"}</w:instrText>
      </w:r>
      <w:r w:rsidR="00C374C8" w:rsidRPr="00C5133C">
        <w:rPr>
          <w:rFonts w:ascii="Cambria" w:hAnsi="Cambria" w:cs="Times New Roman"/>
          <w:sz w:val="22"/>
          <w:lang w:val="en-US"/>
        </w:rPr>
        <w:fldChar w:fldCharType="separate"/>
      </w:r>
      <w:r w:rsidR="00C374C8" w:rsidRPr="00C5133C">
        <w:rPr>
          <w:rFonts w:ascii="Cambria" w:hAnsi="Cambria" w:cs="Times New Roman"/>
          <w:noProof/>
          <w:sz w:val="22"/>
          <w:lang w:val="en-US"/>
        </w:rPr>
        <w:t>Rifai &amp; Atiningsih (2019)</w:t>
      </w:r>
      <w:r w:rsidR="00C374C8" w:rsidRPr="00C5133C">
        <w:rPr>
          <w:rFonts w:ascii="Cambria" w:hAnsi="Cambria" w:cs="Times New Roman"/>
          <w:sz w:val="22"/>
          <w:lang w:val="en-US"/>
        </w:rPr>
        <w:fldChar w:fldCharType="end"/>
      </w:r>
      <w:r w:rsidR="00C374C8" w:rsidRPr="00C5133C">
        <w:rPr>
          <w:rFonts w:ascii="Cambria" w:hAnsi="Cambria" w:cs="Times New Roman"/>
          <w:sz w:val="22"/>
          <w:lang w:val="en-US"/>
        </w:rPr>
        <w:t xml:space="preserve"> menyimpulkan bahwa </w:t>
      </w:r>
      <w:r w:rsidR="00C374C8" w:rsidRPr="00C5133C">
        <w:rPr>
          <w:rFonts w:ascii="Cambria" w:hAnsi="Cambria" w:cs="Times New Roman"/>
          <w:i/>
          <w:sz w:val="22"/>
          <w:lang w:val="en-US"/>
        </w:rPr>
        <w:t>transfer pricing</w:t>
      </w:r>
      <w:r w:rsidR="00C374C8" w:rsidRPr="00C5133C">
        <w:rPr>
          <w:rFonts w:ascii="Cambria" w:hAnsi="Cambria" w:cs="Times New Roman"/>
          <w:sz w:val="22"/>
          <w:lang w:val="en-US"/>
        </w:rPr>
        <w:t xml:space="preserve"> berdampak positif signifikan</w:t>
      </w:r>
      <w:r w:rsidRPr="00C5133C">
        <w:rPr>
          <w:rFonts w:ascii="Cambria" w:hAnsi="Cambria" w:cs="Times New Roman"/>
          <w:sz w:val="22"/>
          <w:lang w:val="en-US"/>
        </w:rPr>
        <w:t>.</w:t>
      </w:r>
    </w:p>
    <w:p w14:paraId="56976055" w14:textId="45E8C893" w:rsidR="00C374C8" w:rsidRPr="00C5133C" w:rsidRDefault="00C374C8" w:rsidP="00C5133C">
      <w:pPr>
        <w:spacing w:line="276" w:lineRule="auto"/>
        <w:rPr>
          <w:rFonts w:ascii="Cambria" w:hAnsi="Cambria" w:cs="Times New Roman"/>
          <w:sz w:val="22"/>
        </w:rPr>
      </w:pPr>
      <w:r w:rsidRPr="00C5133C">
        <w:rPr>
          <w:rFonts w:ascii="Cambria" w:hAnsi="Cambria" w:cs="Times New Roman"/>
          <w:sz w:val="22"/>
          <w:lang w:val="en-US"/>
        </w:rPr>
        <w:t xml:space="preserve">Penelitian-penelitian terdahulu yang telah dilakukan masih menghasilkan kesimpulan yang beragam. Selain itu, terdapat kurangnya variasi dalam objek yang diamati, dimana sebagian besar penelitian memilih perusahaan pada sektor industri manufaktur sebagai objek penelitian. Penelitian dengan objek pengamatan yang berbeda perlu dilakukan untuk memperdalam pemahaman terhadap topik penghindaran pajak. </w:t>
      </w:r>
      <w:r w:rsidR="00CD6F04" w:rsidRPr="00C5133C">
        <w:rPr>
          <w:rFonts w:ascii="Cambria" w:hAnsi="Cambria" w:cs="Times New Roman"/>
          <w:sz w:val="22"/>
          <w:lang w:val="en-US"/>
        </w:rPr>
        <w:t xml:space="preserve">Adapun tujuan penelitian adalah </w:t>
      </w:r>
      <w:r w:rsidR="00CD6F04" w:rsidRPr="00C5133C">
        <w:rPr>
          <w:rFonts w:ascii="Cambria" w:hAnsi="Cambria" w:cs="Times New Roman"/>
          <w:sz w:val="22"/>
        </w:rPr>
        <w:t>m</w:t>
      </w:r>
      <w:r w:rsidRPr="00C5133C">
        <w:rPr>
          <w:rFonts w:ascii="Cambria" w:hAnsi="Cambria" w:cs="Times New Roman"/>
          <w:sz w:val="22"/>
        </w:rPr>
        <w:t>enguji pengaruh manajemen laba akrual</w:t>
      </w:r>
      <w:r w:rsidR="00CD6F04" w:rsidRPr="00C5133C">
        <w:rPr>
          <w:rFonts w:ascii="Cambria" w:hAnsi="Cambria" w:cs="Times New Roman"/>
          <w:sz w:val="22"/>
        </w:rPr>
        <w:t xml:space="preserve">, manajemen laba aktivitas real, dan </w:t>
      </w:r>
      <w:r w:rsidR="00CD6F04" w:rsidRPr="00C5133C">
        <w:rPr>
          <w:rFonts w:ascii="Cambria" w:hAnsi="Cambria" w:cs="Times New Roman"/>
          <w:i/>
          <w:iCs/>
          <w:sz w:val="22"/>
        </w:rPr>
        <w:t>transfer pricing</w:t>
      </w:r>
      <w:r w:rsidRPr="00C5133C">
        <w:rPr>
          <w:rFonts w:ascii="Cambria" w:hAnsi="Cambria" w:cs="Times New Roman"/>
          <w:sz w:val="22"/>
        </w:rPr>
        <w:t xml:space="preserve"> terhadap penghindaran pajak.</w:t>
      </w:r>
    </w:p>
    <w:p w14:paraId="0E6388CC" w14:textId="77777777" w:rsidR="00A34C6B" w:rsidRPr="00C5133C" w:rsidRDefault="00A34C6B" w:rsidP="00C5133C">
      <w:pPr>
        <w:spacing w:line="276" w:lineRule="auto"/>
        <w:rPr>
          <w:rFonts w:ascii="Cambria" w:hAnsi="Cambria" w:cs="Times New Roman"/>
          <w:sz w:val="22"/>
        </w:rPr>
      </w:pPr>
    </w:p>
    <w:p w14:paraId="4E1177B1" w14:textId="24C37916" w:rsidR="00C374C8" w:rsidRPr="00C5133C" w:rsidRDefault="00C374C8" w:rsidP="00A06DFB">
      <w:pPr>
        <w:pStyle w:val="Heading1"/>
        <w:numPr>
          <w:ilvl w:val="0"/>
          <w:numId w:val="27"/>
        </w:numPr>
        <w:spacing w:before="240" w:after="200" w:line="276" w:lineRule="auto"/>
        <w:ind w:left="709" w:hanging="709"/>
        <w:jc w:val="both"/>
        <w:rPr>
          <w:rFonts w:ascii="Cambria" w:hAnsi="Cambria"/>
          <w:sz w:val="24"/>
          <w:szCs w:val="24"/>
          <w:lang w:val="en-US"/>
        </w:rPr>
      </w:pPr>
      <w:bookmarkStart w:id="5" w:name="_Toc84232407"/>
      <w:r w:rsidRPr="00C5133C">
        <w:rPr>
          <w:rFonts w:ascii="Cambria" w:hAnsi="Cambria"/>
          <w:sz w:val="24"/>
          <w:szCs w:val="24"/>
          <w:lang w:val="en-US"/>
        </w:rPr>
        <w:t xml:space="preserve">METODE </w:t>
      </w:r>
      <w:bookmarkEnd w:id="5"/>
      <w:r w:rsidR="005902C7" w:rsidRPr="00C5133C">
        <w:rPr>
          <w:rFonts w:ascii="Cambria" w:hAnsi="Cambria"/>
          <w:sz w:val="24"/>
          <w:szCs w:val="24"/>
          <w:lang w:val="en-US"/>
        </w:rPr>
        <w:t>DAN DATA</w:t>
      </w:r>
    </w:p>
    <w:p w14:paraId="14C6A7D7" w14:textId="1143DDC9" w:rsidR="00C374C8" w:rsidRPr="00C5133C" w:rsidRDefault="00C374C8" w:rsidP="00C5133C">
      <w:pPr>
        <w:spacing w:line="276" w:lineRule="auto"/>
        <w:rPr>
          <w:rFonts w:ascii="Cambria" w:hAnsi="Cambria"/>
          <w:sz w:val="22"/>
        </w:rPr>
      </w:pPr>
      <w:r w:rsidRPr="00C5133C">
        <w:rPr>
          <w:rFonts w:ascii="Cambria" w:hAnsi="Cambria"/>
          <w:sz w:val="22"/>
        </w:rPr>
        <w:t xml:space="preserve">Penelitian </w:t>
      </w:r>
      <w:r w:rsidRPr="00C5133C">
        <w:rPr>
          <w:rFonts w:ascii="Cambria" w:hAnsi="Cambria"/>
          <w:sz w:val="22"/>
          <w:lang w:val="en-US"/>
        </w:rPr>
        <w:t>dilakukan dengan</w:t>
      </w:r>
      <w:r w:rsidRPr="00C5133C">
        <w:rPr>
          <w:rFonts w:ascii="Cambria" w:hAnsi="Cambria"/>
          <w:sz w:val="22"/>
        </w:rPr>
        <w:t xml:space="preserve"> pendekatan kuantitatif dalam proses olah dan analisis data untuk memperoleh kesimpulan hubungan antar variabel independen dan variabel dependen. Objek penelitian ini adalah perusahaan sektor pertanian yang telah terdaftar pada </w:t>
      </w:r>
      <w:r w:rsidRPr="00C5133C">
        <w:rPr>
          <w:rFonts w:ascii="Cambria" w:hAnsi="Cambria"/>
          <w:sz w:val="22"/>
          <w:lang w:val="en-US"/>
        </w:rPr>
        <w:t>BEI</w:t>
      </w:r>
      <w:r w:rsidRPr="00C5133C">
        <w:rPr>
          <w:rFonts w:ascii="Cambria" w:hAnsi="Cambria"/>
          <w:sz w:val="22"/>
        </w:rPr>
        <w:t xml:space="preserve">. </w:t>
      </w:r>
      <w:r w:rsidRPr="00C5133C">
        <w:rPr>
          <w:rFonts w:ascii="Cambria" w:hAnsi="Cambria"/>
          <w:sz w:val="22"/>
          <w:lang w:val="en-US"/>
        </w:rPr>
        <w:t>J</w:t>
      </w:r>
      <w:r w:rsidRPr="00C5133C">
        <w:rPr>
          <w:rFonts w:ascii="Cambria" w:hAnsi="Cambria"/>
          <w:sz w:val="22"/>
        </w:rPr>
        <w:t xml:space="preserve">enis dan Sumber data yang digunakan dalam penelitian ini merupakan data sekunder yang diperoleh melalui pihak ketiga. </w:t>
      </w:r>
      <w:r w:rsidRPr="00C5133C">
        <w:rPr>
          <w:rFonts w:ascii="Cambria" w:hAnsi="Cambria"/>
          <w:sz w:val="22"/>
          <w:lang w:val="en-US"/>
        </w:rPr>
        <w:t>Data</w:t>
      </w:r>
      <w:r w:rsidRPr="00C5133C">
        <w:rPr>
          <w:rFonts w:ascii="Cambria" w:hAnsi="Cambria"/>
          <w:sz w:val="22"/>
        </w:rPr>
        <w:t xml:space="preserve"> sekunder yang </w:t>
      </w:r>
      <w:r w:rsidRPr="00C5133C">
        <w:rPr>
          <w:rFonts w:ascii="Cambria" w:hAnsi="Cambria"/>
          <w:sz w:val="22"/>
          <w:lang w:val="en-US"/>
        </w:rPr>
        <w:t xml:space="preserve">digunakan </w:t>
      </w:r>
      <w:r w:rsidRPr="00C5133C">
        <w:rPr>
          <w:rFonts w:ascii="Cambria" w:hAnsi="Cambria"/>
          <w:sz w:val="22"/>
        </w:rPr>
        <w:t xml:space="preserve">berasal dari laporan keuangan yang diperoleh dengan </w:t>
      </w:r>
      <w:r w:rsidRPr="00C5133C">
        <w:rPr>
          <w:rFonts w:ascii="Cambria" w:hAnsi="Cambria"/>
          <w:sz w:val="22"/>
          <w:lang w:val="en-US"/>
        </w:rPr>
        <w:t xml:space="preserve">cara </w:t>
      </w:r>
      <w:r w:rsidRPr="00C5133C">
        <w:rPr>
          <w:rFonts w:ascii="Cambria" w:hAnsi="Cambria"/>
          <w:sz w:val="22"/>
        </w:rPr>
        <w:t>mengunduh di laman resmi Bursa Efek Indonesia.</w:t>
      </w:r>
      <w:r w:rsidR="00A34C6B" w:rsidRPr="00C5133C">
        <w:rPr>
          <w:rFonts w:ascii="Cambria" w:hAnsi="Cambria"/>
          <w:sz w:val="22"/>
        </w:rPr>
        <w:t xml:space="preserve"> </w:t>
      </w:r>
      <w:r w:rsidRPr="00C5133C">
        <w:rPr>
          <w:rFonts w:ascii="Cambria" w:hAnsi="Cambria"/>
          <w:sz w:val="22"/>
        </w:rPr>
        <w:t xml:space="preserve">Penelitian ini menggunakan </w:t>
      </w:r>
      <w:r w:rsidRPr="00C5133C">
        <w:rPr>
          <w:rFonts w:ascii="Cambria" w:hAnsi="Cambria"/>
          <w:sz w:val="22"/>
          <w:lang w:val="en-US"/>
        </w:rPr>
        <w:t>penghindaran pajak</w:t>
      </w:r>
      <w:r w:rsidRPr="00C5133C">
        <w:rPr>
          <w:rFonts w:ascii="Cambria" w:hAnsi="Cambria"/>
          <w:sz w:val="22"/>
        </w:rPr>
        <w:t xml:space="preserve"> sebagai objek penelitian atau permasalahan utama dalam penelitian ini. </w:t>
      </w:r>
      <w:r w:rsidRPr="00C5133C">
        <w:rPr>
          <w:rFonts w:ascii="Cambria" w:hAnsi="Cambria"/>
          <w:sz w:val="22"/>
          <w:lang w:val="en-US"/>
        </w:rPr>
        <w:t>Penghindaran pajak</w:t>
      </w:r>
      <w:r w:rsidRPr="00C5133C">
        <w:rPr>
          <w:rFonts w:ascii="Cambria" w:hAnsi="Cambria"/>
          <w:sz w:val="22"/>
        </w:rPr>
        <w:t xml:space="preserve"> dipilih sebagai permasalahan utama karena penghindaran pajak merupakan salah satu faktor penyebab tidak optimalnya penerimaan pajak di Indonesia. Objek dalam penelitian ini adalah perusahaan-perusahaan </w:t>
      </w:r>
      <w:r w:rsidRPr="00C5133C">
        <w:rPr>
          <w:rFonts w:ascii="Cambria" w:hAnsi="Cambria"/>
          <w:sz w:val="22"/>
          <w:lang w:val="en-US"/>
        </w:rPr>
        <w:t>di</w:t>
      </w:r>
      <w:r w:rsidRPr="00C5133C">
        <w:rPr>
          <w:rFonts w:ascii="Cambria" w:hAnsi="Cambria"/>
          <w:sz w:val="22"/>
        </w:rPr>
        <w:t xml:space="preserve"> sektor pertanian yang terdaftar di </w:t>
      </w:r>
      <w:r w:rsidRPr="00C5133C">
        <w:rPr>
          <w:rFonts w:ascii="Cambria" w:hAnsi="Cambria"/>
          <w:sz w:val="22"/>
          <w:lang w:val="en-US"/>
        </w:rPr>
        <w:t>BEI</w:t>
      </w:r>
      <w:r w:rsidRPr="00C5133C">
        <w:rPr>
          <w:rFonts w:ascii="Cambria" w:hAnsi="Cambria"/>
          <w:sz w:val="22"/>
        </w:rPr>
        <w:t>. Objek tersebut dipilih karena sektor pertanian merupakan salah satu sektor utama yang memiliki porsi paling besar terhadap PDB Indonesia.</w:t>
      </w:r>
    </w:p>
    <w:p w14:paraId="4AB97EDD" w14:textId="6FD91E0B" w:rsidR="00C374C8" w:rsidRPr="00C5133C" w:rsidRDefault="00C374C8" w:rsidP="00C5133C">
      <w:pPr>
        <w:spacing w:line="276" w:lineRule="auto"/>
        <w:rPr>
          <w:rFonts w:ascii="Cambria" w:hAnsi="Cambria" w:cs="Times New Roman"/>
          <w:sz w:val="22"/>
          <w:lang w:val="en-US"/>
        </w:rPr>
      </w:pPr>
      <w:r w:rsidRPr="00C5133C">
        <w:rPr>
          <w:rFonts w:ascii="Cambria" w:hAnsi="Cambria"/>
          <w:sz w:val="22"/>
        </w:rPr>
        <w:t xml:space="preserve">Jenis data yang akan digunakan dalam penelitian ini adalah data sekunder. Data sekunder adalah data yang sudah dikumpulkan oleh pihak lain untuk tujuan yang berbeda dari tujuan penelitian </w:t>
      </w:r>
      <w:r w:rsidRPr="00C5133C">
        <w:rPr>
          <w:rFonts w:ascii="Cambria" w:hAnsi="Cambria"/>
          <w:sz w:val="22"/>
        </w:rPr>
        <w:fldChar w:fldCharType="begin" w:fldLock="1"/>
      </w:r>
      <w:r w:rsidRPr="00C5133C">
        <w:rPr>
          <w:rFonts w:ascii="Cambria" w:hAnsi="Cambria"/>
          <w:sz w:val="22"/>
        </w:rPr>
        <w:instrText>ADDIN CSL_CITATION {"citationItems":[{"id":"ITEM-1","itemData":{"author":[{"dropping-particle":"","family":"Sekaran","given":"U","non-dropping-particle":"","parse-names":false,"suffix":""},{"dropping-particle":"","family":"Bougie","given":"R","non-dropping-particle":"","parse-names":false,"suffix":""}],"id":"ITEM-1","issued":{"date-parts":[["2016"]]},"publisher":"John Wiley &amp; Sons Ltd.","title":"Research Methods for Business (Seventh Edition)","type":"book"},"uris":["http://www.mendeley.com/documents/?uuid=eb0e863f-0e9e-451b-80cb-108266ef1387"]}],"mendeley":{"formattedCitation":"(Sekaran &amp; Bougie, 2016)","plainTextFormattedCitation":"(Sekaran &amp; Bougie, 2016)","previouslyFormattedCitation":"(Sekaran &amp; Bougie, 2016)"},"properties":{"noteIndex":0},"schema":"https://github.com/citation-style-language/schema/raw/master/csl-citation.json"}</w:instrText>
      </w:r>
      <w:r w:rsidRPr="00C5133C">
        <w:rPr>
          <w:rFonts w:ascii="Cambria" w:hAnsi="Cambria"/>
          <w:sz w:val="22"/>
        </w:rPr>
        <w:fldChar w:fldCharType="separate"/>
      </w:r>
      <w:r w:rsidRPr="00C5133C">
        <w:rPr>
          <w:rFonts w:ascii="Cambria" w:hAnsi="Cambria"/>
          <w:noProof/>
          <w:sz w:val="22"/>
        </w:rPr>
        <w:t>(Sekaran &amp; Bougie, 2016)</w:t>
      </w:r>
      <w:r w:rsidRPr="00C5133C">
        <w:rPr>
          <w:rFonts w:ascii="Cambria" w:hAnsi="Cambria"/>
          <w:sz w:val="22"/>
        </w:rPr>
        <w:fldChar w:fldCharType="end"/>
      </w:r>
      <w:r w:rsidRPr="00C5133C">
        <w:rPr>
          <w:rFonts w:ascii="Cambria" w:hAnsi="Cambria"/>
          <w:sz w:val="22"/>
        </w:rPr>
        <w:t>. Data sekunder yang digunakan dalam penelitian ini adalah data yang berasal dari laporan keuangan</w:t>
      </w:r>
      <w:r w:rsidR="004023EB" w:rsidRPr="00C5133C">
        <w:rPr>
          <w:rFonts w:ascii="Cambria" w:hAnsi="Cambria"/>
          <w:sz w:val="22"/>
        </w:rPr>
        <w:t xml:space="preserve"> </w:t>
      </w:r>
      <w:r w:rsidRPr="00C5133C">
        <w:rPr>
          <w:rFonts w:ascii="Cambria" w:hAnsi="Cambria"/>
          <w:sz w:val="22"/>
        </w:rPr>
        <w:t xml:space="preserve">perusahaan yang terdaftar di </w:t>
      </w:r>
      <w:r w:rsidRPr="00C5133C">
        <w:rPr>
          <w:rFonts w:ascii="Cambria" w:hAnsi="Cambria"/>
          <w:sz w:val="22"/>
          <w:lang w:val="en-US"/>
        </w:rPr>
        <w:t>BEI</w:t>
      </w:r>
      <w:r w:rsidRPr="00C5133C">
        <w:rPr>
          <w:rFonts w:ascii="Cambria" w:hAnsi="Cambria"/>
          <w:sz w:val="22"/>
        </w:rPr>
        <w:t xml:space="preserve"> dari tahun 2016 s.d. 2020. Data di</w:t>
      </w:r>
      <w:r w:rsidRPr="00C5133C">
        <w:rPr>
          <w:rFonts w:ascii="Cambria" w:hAnsi="Cambria"/>
          <w:sz w:val="22"/>
          <w:lang w:val="en-US"/>
        </w:rPr>
        <w:t>himpun</w:t>
      </w:r>
      <w:r w:rsidRPr="00C5133C">
        <w:rPr>
          <w:rFonts w:ascii="Cambria" w:hAnsi="Cambria"/>
          <w:sz w:val="22"/>
        </w:rPr>
        <w:t xml:space="preserve"> dengan mengunduh laporan keuangan dari laman resmi BEI dengan alamat </w:t>
      </w:r>
      <w:hyperlink r:id="rId8" w:history="1">
        <w:r w:rsidRPr="00C5133C">
          <w:rPr>
            <w:rStyle w:val="Hyperlink"/>
            <w:rFonts w:ascii="Cambria" w:hAnsi="Cambria" w:cs="Times New Roman"/>
            <w:sz w:val="22"/>
          </w:rPr>
          <w:t>http://www.idx.co.id</w:t>
        </w:r>
      </w:hyperlink>
      <w:r w:rsidR="004023EB" w:rsidRPr="00C5133C">
        <w:rPr>
          <w:rFonts w:ascii="Cambria" w:hAnsi="Cambria"/>
          <w:sz w:val="22"/>
        </w:rPr>
        <w:t>.</w:t>
      </w:r>
      <w:r w:rsidR="006D2571" w:rsidRPr="00C5133C">
        <w:rPr>
          <w:rFonts w:ascii="Cambria" w:hAnsi="Cambria"/>
          <w:sz w:val="22"/>
        </w:rPr>
        <w:t xml:space="preserve"> </w:t>
      </w:r>
      <w:r w:rsidRPr="00C5133C">
        <w:rPr>
          <w:rFonts w:ascii="Cambria" w:hAnsi="Cambria"/>
          <w:sz w:val="22"/>
        </w:rPr>
        <w:t xml:space="preserve">Pengambilan sampel dilakukan dengan menggunakan metode </w:t>
      </w:r>
      <w:r w:rsidRPr="00C5133C">
        <w:rPr>
          <w:rFonts w:ascii="Cambria" w:hAnsi="Cambria"/>
          <w:i/>
          <w:sz w:val="22"/>
        </w:rPr>
        <w:t>purposive sampling</w:t>
      </w:r>
      <w:r w:rsidRPr="00C5133C">
        <w:rPr>
          <w:rFonts w:ascii="Cambria" w:hAnsi="Cambria"/>
          <w:i/>
          <w:sz w:val="22"/>
          <w:lang w:val="en-US"/>
        </w:rPr>
        <w:t>,</w:t>
      </w:r>
      <w:r w:rsidRPr="00C5133C">
        <w:rPr>
          <w:rFonts w:ascii="Cambria" w:hAnsi="Cambria"/>
          <w:sz w:val="22"/>
        </w:rPr>
        <w:t xml:space="preserve"> sampel </w:t>
      </w:r>
      <w:r w:rsidRPr="00C5133C">
        <w:rPr>
          <w:rFonts w:ascii="Cambria" w:hAnsi="Cambria"/>
          <w:sz w:val="22"/>
          <w:lang w:val="en-US"/>
        </w:rPr>
        <w:t xml:space="preserve">dipilih </w:t>
      </w:r>
      <w:r w:rsidRPr="00C5133C">
        <w:rPr>
          <w:rFonts w:ascii="Cambria" w:hAnsi="Cambria"/>
          <w:sz w:val="22"/>
        </w:rPr>
        <w:t xml:space="preserve">dengan kriteria tertentu secara tidak acak. Kriteria </w:t>
      </w:r>
      <w:r w:rsidRPr="00C5133C">
        <w:rPr>
          <w:rFonts w:ascii="Cambria" w:hAnsi="Cambria"/>
          <w:sz w:val="22"/>
          <w:lang w:val="en-US"/>
        </w:rPr>
        <w:t>dalam pemilihan sampel</w:t>
      </w:r>
      <w:r w:rsidRPr="00C5133C">
        <w:rPr>
          <w:rFonts w:ascii="Cambria" w:hAnsi="Cambria"/>
          <w:sz w:val="22"/>
        </w:rPr>
        <w:t xml:space="preserve"> adalah sebagai berikut:</w:t>
      </w:r>
      <w:r w:rsidR="00E24E8A" w:rsidRPr="00C5133C">
        <w:rPr>
          <w:rFonts w:ascii="Cambria" w:hAnsi="Cambria"/>
          <w:sz w:val="22"/>
        </w:rPr>
        <w:t xml:space="preserve"> (1) </w:t>
      </w:r>
      <w:r w:rsidRPr="00C5133C">
        <w:rPr>
          <w:rFonts w:ascii="Cambria" w:hAnsi="Cambria" w:cs="Times New Roman"/>
          <w:sz w:val="22"/>
        </w:rPr>
        <w:t>Perusahaan yang terdaftar di BEI dan menerbitkan laporan keuangan</w:t>
      </w:r>
      <w:r w:rsidRPr="00C5133C">
        <w:rPr>
          <w:rFonts w:ascii="Cambria" w:hAnsi="Cambria" w:cs="Times New Roman"/>
          <w:sz w:val="22"/>
          <w:lang w:val="en-US"/>
        </w:rPr>
        <w:t xml:space="preserve"> setidaknya </w:t>
      </w:r>
      <w:r w:rsidRPr="00C5133C">
        <w:rPr>
          <w:rFonts w:ascii="Cambria" w:hAnsi="Cambria" w:cs="Times New Roman"/>
          <w:sz w:val="22"/>
        </w:rPr>
        <w:t>dari tahun 201</w:t>
      </w:r>
      <w:r w:rsidRPr="00C5133C">
        <w:rPr>
          <w:rFonts w:ascii="Cambria" w:hAnsi="Cambria" w:cs="Times New Roman"/>
          <w:sz w:val="22"/>
          <w:lang w:val="en-US"/>
        </w:rPr>
        <w:t>4</w:t>
      </w:r>
      <w:r w:rsidRPr="00C5133C">
        <w:rPr>
          <w:rFonts w:ascii="Cambria" w:hAnsi="Cambria" w:cs="Times New Roman"/>
          <w:sz w:val="22"/>
        </w:rPr>
        <w:t xml:space="preserve"> sampai dengan tahun 2020</w:t>
      </w:r>
      <w:r w:rsidR="00E24E8A" w:rsidRPr="00C5133C">
        <w:rPr>
          <w:rFonts w:ascii="Cambria" w:hAnsi="Cambria" w:cs="Times New Roman"/>
          <w:sz w:val="22"/>
        </w:rPr>
        <w:t xml:space="preserve">; (2) </w:t>
      </w:r>
      <w:r w:rsidRPr="00C5133C">
        <w:rPr>
          <w:rFonts w:ascii="Cambria" w:hAnsi="Cambria" w:cs="Times New Roman"/>
          <w:sz w:val="22"/>
        </w:rPr>
        <w:t>Perusahaan menggunakan mata uang rupiah. Kriteria ini diperlukan agar pengukuran nilai mata uang yang digunakan sama</w:t>
      </w:r>
      <w:r w:rsidR="00E24E8A" w:rsidRPr="00C5133C">
        <w:rPr>
          <w:rFonts w:ascii="Cambria" w:hAnsi="Cambria" w:cs="Times New Roman"/>
          <w:sz w:val="22"/>
        </w:rPr>
        <w:t>; dan (3)</w:t>
      </w:r>
      <w:r w:rsidR="00E24E8A" w:rsidRPr="00C5133C">
        <w:rPr>
          <w:rFonts w:ascii="Cambria" w:hAnsi="Cambria" w:cs="Times New Roman"/>
          <w:sz w:val="22"/>
          <w:lang w:val="en-US"/>
        </w:rPr>
        <w:t xml:space="preserve"> </w:t>
      </w:r>
      <w:r w:rsidRPr="00C5133C">
        <w:rPr>
          <w:rFonts w:ascii="Cambria" w:hAnsi="Cambria" w:cs="Times New Roman"/>
          <w:sz w:val="22"/>
          <w:lang w:val="en-US"/>
        </w:rPr>
        <w:t>Perusahaan tidak mengalami kerugian selama periode observasi</w:t>
      </w:r>
      <w:r w:rsidR="000033B5" w:rsidRPr="00C5133C">
        <w:rPr>
          <w:rFonts w:ascii="Cambria" w:hAnsi="Cambria" w:cs="Times New Roman"/>
          <w:sz w:val="22"/>
          <w:lang w:val="en-US"/>
        </w:rPr>
        <w:t>.</w:t>
      </w:r>
    </w:p>
    <w:p w14:paraId="52E61890" w14:textId="3F253352" w:rsidR="006D2571" w:rsidRPr="00C5133C" w:rsidRDefault="006D2571" w:rsidP="00C5133C">
      <w:pPr>
        <w:spacing w:line="276" w:lineRule="auto"/>
        <w:rPr>
          <w:rFonts w:ascii="Cambria" w:hAnsi="Cambria"/>
          <w:sz w:val="22"/>
        </w:rPr>
      </w:pPr>
      <w:r w:rsidRPr="00C5133C">
        <w:rPr>
          <w:rFonts w:ascii="Cambria" w:hAnsi="Cambria"/>
          <w:sz w:val="22"/>
        </w:rPr>
        <w:t xml:space="preserve">Variabel merujuk pada karakteristik dari independen organisasi yang dapat diukur atau diobservasi dan bervariasi di antara  independen organisasi yang diteliti </w:t>
      </w:r>
      <w:r w:rsidRPr="00C5133C">
        <w:rPr>
          <w:rFonts w:ascii="Cambria" w:hAnsi="Cambria"/>
          <w:sz w:val="22"/>
        </w:rPr>
        <w:fldChar w:fldCharType="begin" w:fldLock="1"/>
      </w:r>
      <w:r w:rsidRPr="00C5133C">
        <w:rPr>
          <w:rFonts w:ascii="Cambria" w:hAnsi="Cambria"/>
          <w:sz w:val="22"/>
        </w:rPr>
        <w:instrText>ADDIN CSL_CITATION {"citationItems":[{"id":"ITEM-1","itemData":{"author":[{"dropping-particle":"","family":"Creswell","given":"J.W.","non-dropping-particle":"","parse-names":false,"suffix":""},{"dropping-particle":"","family":"Creswell","given":"J.D","non-dropping-particle":"","parse-names":false,"suffix":""}],"id":"ITEM-1","issued":{"date-parts":[["2018"]]},"publisher":"SAGE Publications, Inc.","title":"Research Design: Qualitative, Quantitative, and Mixed Methods Approaches (Fifth Edition)","type":"book"},"uris":["http://www.mendeley.com/documents/?uuid=2901492f-544d-4e14-a862-bdcef1f7356c"]}],"mendeley":{"formattedCitation":"(Creswell &amp; Creswell, 2018)","plainTextFormattedCitation":"(Creswell &amp; Creswell, 2018)","previouslyFormattedCitation":"(Creswell &amp; Creswell, 2018)"},"properties":{"noteIndex":0},"schema":"https://github.com/citation-style-language/schema/raw/master/csl-citation.json"}</w:instrText>
      </w:r>
      <w:r w:rsidRPr="00C5133C">
        <w:rPr>
          <w:rFonts w:ascii="Cambria" w:hAnsi="Cambria"/>
          <w:sz w:val="22"/>
        </w:rPr>
        <w:fldChar w:fldCharType="separate"/>
      </w:r>
      <w:r w:rsidRPr="00C5133C">
        <w:rPr>
          <w:rFonts w:ascii="Cambria" w:hAnsi="Cambria"/>
          <w:noProof/>
          <w:sz w:val="22"/>
        </w:rPr>
        <w:t>(Creswell &amp; Creswell, 2018)</w:t>
      </w:r>
      <w:r w:rsidRPr="00C5133C">
        <w:rPr>
          <w:rFonts w:ascii="Cambria" w:hAnsi="Cambria"/>
          <w:sz w:val="22"/>
        </w:rPr>
        <w:fldChar w:fldCharType="end"/>
      </w:r>
      <w:r w:rsidRPr="00C5133C">
        <w:rPr>
          <w:rFonts w:ascii="Cambria" w:hAnsi="Cambria"/>
          <w:sz w:val="22"/>
        </w:rPr>
        <w:t xml:space="preserve">. Penelitian menggunakan tiga jenis variabel yaitu variabel dependen, </w:t>
      </w:r>
      <w:proofErr w:type="gramStart"/>
      <w:r w:rsidRPr="00C5133C">
        <w:rPr>
          <w:rFonts w:ascii="Cambria" w:hAnsi="Cambria"/>
          <w:sz w:val="22"/>
        </w:rPr>
        <w:t>variabel  independen</w:t>
      </w:r>
      <w:proofErr w:type="gramEnd"/>
      <w:r w:rsidRPr="00C5133C">
        <w:rPr>
          <w:rFonts w:ascii="Cambria" w:hAnsi="Cambria"/>
          <w:sz w:val="22"/>
        </w:rPr>
        <w:t xml:space="preserve"> dan variabel kontrol. Variabel dependen adalah variabel yang menjadi ketertarikan utama peneliti. Variabel dependen adalah variabel yang bergantung pada </w:t>
      </w:r>
      <w:proofErr w:type="gramStart"/>
      <w:r w:rsidRPr="00C5133C">
        <w:rPr>
          <w:rFonts w:ascii="Cambria" w:hAnsi="Cambria"/>
          <w:sz w:val="22"/>
        </w:rPr>
        <w:t>variabel  independen</w:t>
      </w:r>
      <w:proofErr w:type="gramEnd"/>
      <w:r w:rsidRPr="00C5133C">
        <w:rPr>
          <w:rFonts w:ascii="Cambria" w:hAnsi="Cambria"/>
          <w:sz w:val="22"/>
        </w:rPr>
        <w:t>. Variabel  independen adalah variabel yang mempengaruhi variabel dependen, baik positif maupun negati</w:t>
      </w:r>
      <w:r w:rsidR="00673B33">
        <w:rPr>
          <w:rFonts w:ascii="Cambria" w:hAnsi="Cambria"/>
          <w:sz w:val="22"/>
        </w:rPr>
        <w:t>f</w:t>
      </w:r>
      <w:r w:rsidRPr="00C5133C">
        <w:rPr>
          <w:rFonts w:ascii="Cambria" w:hAnsi="Cambria"/>
          <w:sz w:val="22"/>
          <w:lang w:val="en-US"/>
        </w:rPr>
        <w:t xml:space="preserve"> </w:t>
      </w:r>
      <w:r w:rsidRPr="00C5133C">
        <w:rPr>
          <w:rFonts w:ascii="Cambria" w:hAnsi="Cambria"/>
          <w:sz w:val="22"/>
          <w:lang w:val="en-US"/>
        </w:rPr>
        <w:fldChar w:fldCharType="begin" w:fldLock="1"/>
      </w:r>
      <w:r w:rsidRPr="00C5133C">
        <w:rPr>
          <w:rFonts w:ascii="Cambria" w:hAnsi="Cambria"/>
          <w:sz w:val="22"/>
          <w:lang w:val="en-US"/>
        </w:rPr>
        <w:instrText>ADDIN CSL_CITATION {"citationItems":[{"id":"ITEM-1","itemData":{"author":[{"dropping-particle":"","family":"Sekaran","given":"U","non-dropping-particle":"","parse-names":false,"suffix":""},{"dropping-particle":"","family":"Bougie","given":"R","non-dropping-particle":"","parse-names":false,"suffix":""}],"id":"ITEM-1","issued":{"date-parts":[["2016"]]},"publisher":"John Wiley &amp; Sons Ltd.","title":"Research Methods for Business (Seventh Edition)","type":"book"},"uris":["http://www.mendeley.com/documents/?uuid=eb0e863f-0e9e-451b-80cb-108266ef1387"]}],"mendeley":{"formattedCitation":"(Sekaran &amp; Bougie, 2016)","plainTextFormattedCitation":"(Sekaran &amp; Bougie, 2016)","previouslyFormattedCitation":"(Sekaran &amp; Bougie, 2016)"},"properties":{"noteIndex":0},"schema":"https://github.com/citation-style-language/schema/raw/master/csl-citation.json"}</w:instrText>
      </w:r>
      <w:r w:rsidRPr="00C5133C">
        <w:rPr>
          <w:rFonts w:ascii="Cambria" w:hAnsi="Cambria"/>
          <w:sz w:val="22"/>
          <w:lang w:val="en-US"/>
        </w:rPr>
        <w:fldChar w:fldCharType="separate"/>
      </w:r>
      <w:r w:rsidRPr="00C5133C">
        <w:rPr>
          <w:rFonts w:ascii="Cambria" w:hAnsi="Cambria"/>
          <w:noProof/>
          <w:sz w:val="22"/>
          <w:lang w:val="en-US"/>
        </w:rPr>
        <w:t>(Sekaran &amp; Bougie, 2016)</w:t>
      </w:r>
      <w:r w:rsidRPr="00C5133C">
        <w:rPr>
          <w:rFonts w:ascii="Cambria" w:hAnsi="Cambria"/>
          <w:sz w:val="22"/>
          <w:lang w:val="en-US"/>
        </w:rPr>
        <w:fldChar w:fldCharType="end"/>
      </w:r>
      <w:r w:rsidRPr="00C5133C">
        <w:rPr>
          <w:rFonts w:ascii="Cambria" w:hAnsi="Cambria"/>
          <w:sz w:val="22"/>
        </w:rPr>
        <w:t xml:space="preserve">. Variabel kontrol merupakan variabel yang tidak ingin diteliti tetapi </w:t>
      </w:r>
      <w:r w:rsidRPr="00C5133C">
        <w:rPr>
          <w:rFonts w:ascii="Cambria" w:hAnsi="Cambria"/>
          <w:sz w:val="22"/>
        </w:rPr>
        <w:lastRenderedPageBreak/>
        <w:t xml:space="preserve">tetap diukur dan dijaga tetap konstan agar tidak mempengaruhi hubungan variabel  independen dengan variabel dependen </w:t>
      </w:r>
      <w:r w:rsidRPr="00C5133C">
        <w:rPr>
          <w:rFonts w:ascii="Cambria" w:hAnsi="Cambria"/>
          <w:sz w:val="22"/>
        </w:rPr>
        <w:fldChar w:fldCharType="begin" w:fldLock="1"/>
      </w:r>
      <w:r w:rsidRPr="00C5133C">
        <w:rPr>
          <w:rFonts w:ascii="Cambria" w:hAnsi="Cambria"/>
          <w:sz w:val="22"/>
        </w:rPr>
        <w:instrText>ADDIN CSL_CITATION {"citationItems":[{"id":"ITEM-1","itemData":{"author":[{"dropping-particle":"","family":"Saunders","given":"M.N.K","non-dropping-particle":"","parse-names":false,"suffix":""},{"dropping-particle":"","family":"Lewis","given":"P","non-dropping-particle":"","parse-names":false,"suffix":""},{"dropping-particle":"","family":"Thornhill","given":"A","non-dropping-particle":"","parse-names":false,"suffix":""}],"id":"ITEM-1","issued":{"date-parts":[["2015"]]},"publisher":"Pearson Education","title":"Research methods for business students (Seventh edition)","type":"book"},"uris":["http://www.mendeley.com/documents/?uuid=3180403d-e487-40ae-beef-6f39024e99b5"]}],"mendeley":{"formattedCitation":"(Saunders et al., 2015)","plainTextFormattedCitation":"(Saunders et al., 2015)","previouslyFormattedCitation":"(Saunders et al., 2015)"},"properties":{"noteIndex":0},"schema":"https://github.com/citation-style-language/schema/raw/master/csl-citation.json"}</w:instrText>
      </w:r>
      <w:r w:rsidRPr="00C5133C">
        <w:rPr>
          <w:rFonts w:ascii="Cambria" w:hAnsi="Cambria"/>
          <w:sz w:val="22"/>
        </w:rPr>
        <w:fldChar w:fldCharType="separate"/>
      </w:r>
      <w:r w:rsidRPr="00C5133C">
        <w:rPr>
          <w:rFonts w:ascii="Cambria" w:hAnsi="Cambria"/>
          <w:noProof/>
          <w:sz w:val="22"/>
        </w:rPr>
        <w:t xml:space="preserve">(Saunders </w:t>
      </w:r>
      <w:r w:rsidRPr="00C5133C">
        <w:rPr>
          <w:rFonts w:ascii="Cambria" w:hAnsi="Cambria"/>
          <w:i/>
          <w:noProof/>
          <w:sz w:val="22"/>
        </w:rPr>
        <w:t>et al.</w:t>
      </w:r>
      <w:r w:rsidRPr="00C5133C">
        <w:rPr>
          <w:rFonts w:ascii="Cambria" w:hAnsi="Cambria"/>
          <w:noProof/>
          <w:sz w:val="22"/>
        </w:rPr>
        <w:t>, 2015)</w:t>
      </w:r>
      <w:r w:rsidRPr="00C5133C">
        <w:rPr>
          <w:rFonts w:ascii="Cambria" w:hAnsi="Cambria"/>
          <w:sz w:val="22"/>
        </w:rPr>
        <w:fldChar w:fldCharType="end"/>
      </w:r>
      <w:r w:rsidRPr="00C5133C">
        <w:rPr>
          <w:rFonts w:ascii="Cambria" w:hAnsi="Cambria"/>
          <w:sz w:val="22"/>
          <w:lang w:val="en-US"/>
        </w:rPr>
        <w:t>.</w:t>
      </w:r>
    </w:p>
    <w:p w14:paraId="60493297" w14:textId="77777777" w:rsidR="006D2571" w:rsidRPr="00C5133C" w:rsidRDefault="006D2571" w:rsidP="00C5133C">
      <w:pPr>
        <w:spacing w:line="276" w:lineRule="auto"/>
        <w:rPr>
          <w:rFonts w:ascii="Cambria" w:hAnsi="Cambria" w:cs="Times New Roman"/>
          <w:sz w:val="22"/>
        </w:rPr>
      </w:pPr>
      <w:r w:rsidRPr="00C5133C">
        <w:rPr>
          <w:rFonts w:ascii="Cambria" w:hAnsi="Cambria" w:cs="Times New Roman"/>
          <w:sz w:val="22"/>
          <w:lang w:val="en-US"/>
        </w:rPr>
        <w:t xml:space="preserve">Penghindaran </w:t>
      </w:r>
      <w:r w:rsidRPr="00C5133C">
        <w:rPr>
          <w:rFonts w:ascii="Cambria" w:hAnsi="Cambria" w:cs="Times New Roman"/>
          <w:sz w:val="22"/>
        </w:rPr>
        <w:t>pajak</w:t>
      </w:r>
      <w:r w:rsidRPr="00C5133C">
        <w:rPr>
          <w:rFonts w:ascii="Cambria" w:hAnsi="Cambria" w:cs="Times New Roman"/>
          <w:sz w:val="22"/>
          <w:lang w:val="en-US"/>
        </w:rPr>
        <w:t xml:space="preserve"> sebagai variabel dependen</w:t>
      </w:r>
      <w:r w:rsidRPr="00C5133C">
        <w:rPr>
          <w:rFonts w:ascii="Cambria" w:hAnsi="Cambria" w:cs="Times New Roman"/>
          <w:sz w:val="22"/>
        </w:rPr>
        <w:t xml:space="preserve"> diukur menggunakan proksi </w:t>
      </w:r>
      <w:r w:rsidRPr="00C5133C">
        <w:rPr>
          <w:rFonts w:ascii="Cambria" w:hAnsi="Cambria" w:cs="Times New Roman"/>
          <w:sz w:val="22"/>
          <w:lang w:val="en-US"/>
        </w:rPr>
        <w:t>GAAP ETR</w:t>
      </w:r>
      <w:r w:rsidRPr="00C5133C">
        <w:rPr>
          <w:rFonts w:ascii="Cambria" w:hAnsi="Cambria" w:cs="Times New Roman"/>
          <w:sz w:val="22"/>
        </w:rPr>
        <w:t xml:space="preserve"> seperti yang digunakan </w:t>
      </w:r>
      <w:r w:rsidRPr="00C5133C">
        <w:rPr>
          <w:rFonts w:ascii="Cambria" w:hAnsi="Cambria" w:cs="Times New Roman"/>
          <w:sz w:val="22"/>
        </w:rPr>
        <w:fldChar w:fldCharType="begin" w:fldLock="1"/>
      </w:r>
      <w:r w:rsidRPr="00C5133C">
        <w:rPr>
          <w:rFonts w:ascii="Cambria" w:hAnsi="Cambria" w:cs="Times New Roman"/>
          <w:sz w:val="22"/>
        </w:rPr>
        <w:instrText>ADDIN CSL_CITATION {"citationItems":[{"id":"ITEM-1","itemData":{"DOI":"https://doi.org/10.1016/j.jaccpubpol.2007.10.003","ISSN":"0278-4254","abstract":"This study examines the determinants of the variability in corporate effective tax rates in Australia spanning the Ralph Review of Business Taxation reform. Our results indicate that corporate effective tax rates are associated with several major firm-specific characteristics, including firm size, capital structure (leverage) and asset mix (capital intensity, inventory intensity and R&amp;D intensity). While the Ralph Review tax reform had a significant impact on many of these associations, corporate effective tax rates continue to be associated with firm size, capital structure and asset mix after the tax reform.","author":[{"dropping-particle":"","family":"Richardson","given":"Grant","non-dropping-particle":"","parse-names":false,"suffix":""},{"dropping-particle":"","family":"Lanis","given":"Roman","non-dropping-particle":"","parse-names":false,"suffix":""}],"container-title":"Journal of Accounting and Public Policy","id":"ITEM-1","issue":"6","issued":{"date-parts":[["2007"]]},"page":"689-704","title":"Determinants of the variability in corporate effective tax rates and tax reform: Evidence from Australia","type":"article-journal","volume":"26"},"uris":["http://www.mendeley.com/documents/?uuid=ad65b09a-16e4-4558-987b-341864aa72de"]}],"mendeley":{"formattedCitation":"(Richardson &amp; Lanis, 2007)","plainTextFormattedCitation":"(Richardson &amp; Lanis, 2007)","previouslyFormattedCitation":"(Richardson &amp; Lanis, 2007)"},"properties":{"noteIndex":0},"schema":"https://github.com/citation-style-language/schema/raw/master/csl-citation.json"}</w:instrText>
      </w:r>
      <w:r w:rsidRPr="00C5133C">
        <w:rPr>
          <w:rFonts w:ascii="Cambria" w:hAnsi="Cambria" w:cs="Times New Roman"/>
          <w:sz w:val="22"/>
        </w:rPr>
        <w:fldChar w:fldCharType="separate"/>
      </w:r>
      <w:r w:rsidRPr="00C5133C">
        <w:rPr>
          <w:rFonts w:ascii="Cambria" w:hAnsi="Cambria" w:cs="Times New Roman"/>
          <w:noProof/>
          <w:sz w:val="22"/>
        </w:rPr>
        <w:t>(Richardson &amp; Lanis, 2007)</w:t>
      </w:r>
      <w:r w:rsidRPr="00C5133C">
        <w:rPr>
          <w:rFonts w:ascii="Cambria" w:hAnsi="Cambria" w:cs="Times New Roman"/>
          <w:sz w:val="22"/>
        </w:rPr>
        <w:fldChar w:fldCharType="end"/>
      </w:r>
      <w:r w:rsidRPr="00C5133C">
        <w:rPr>
          <w:rFonts w:ascii="Cambria" w:hAnsi="Cambria" w:cs="Times New Roman"/>
          <w:sz w:val="22"/>
          <w:lang w:val="en-US"/>
        </w:rPr>
        <w:t xml:space="preserve"> </w:t>
      </w:r>
      <w:r w:rsidRPr="00C5133C">
        <w:rPr>
          <w:rFonts w:ascii="Cambria" w:hAnsi="Cambria" w:cs="Times New Roman"/>
          <w:sz w:val="22"/>
        </w:rPr>
        <w:t xml:space="preserve">dimana </w:t>
      </w:r>
      <w:r w:rsidRPr="00C5133C">
        <w:rPr>
          <w:rFonts w:ascii="Cambria" w:hAnsi="Cambria" w:cs="Times New Roman"/>
          <w:sz w:val="22"/>
          <w:lang w:val="en-US"/>
        </w:rPr>
        <w:t>GAAP ETR diukur sebagai rasio beban pajak penghasilan dengan laba sebelum pajak. Proksi ini dipilih karena data beban pajak dan laba sebelum pajak tersedia secara eksplisit dalam laporan keuangan perusahaan sehingga pengukuran dapat dilakukan dengan akurat</w:t>
      </w:r>
      <w:r w:rsidRPr="00C5133C">
        <w:rPr>
          <w:rFonts w:ascii="Cambria" w:hAnsi="Cambria" w:cs="Times New Roman"/>
          <w:sz w:val="22"/>
        </w:rPr>
        <w:t>.</w:t>
      </w:r>
    </w:p>
    <w:p w14:paraId="7326A25E" w14:textId="1A1C7ADB" w:rsidR="006D2571" w:rsidRPr="00C5133C" w:rsidRDefault="006D2571" w:rsidP="00C5133C">
      <w:pPr>
        <w:spacing w:line="276" w:lineRule="auto"/>
        <w:rPr>
          <w:rFonts w:ascii="Cambria" w:hAnsi="Cambria"/>
          <w:sz w:val="22"/>
        </w:rPr>
      </w:pPr>
      <w:proofErr w:type="gramStart"/>
      <w:r w:rsidRPr="00C5133C">
        <w:rPr>
          <w:rFonts w:ascii="Cambria" w:hAnsi="Cambria"/>
          <w:sz w:val="22"/>
        </w:rPr>
        <w:t>Variabel  independen</w:t>
      </w:r>
      <w:proofErr w:type="gramEnd"/>
      <w:r w:rsidRPr="00C5133C">
        <w:rPr>
          <w:rFonts w:ascii="Cambria" w:hAnsi="Cambria"/>
          <w:sz w:val="22"/>
        </w:rPr>
        <w:t xml:space="preserve"> pertama yang </w:t>
      </w:r>
      <w:r w:rsidRPr="00C5133C">
        <w:rPr>
          <w:rFonts w:ascii="Cambria" w:hAnsi="Cambria"/>
          <w:sz w:val="22"/>
          <w:lang w:val="en-US"/>
        </w:rPr>
        <w:t xml:space="preserve">dipilih untuk </w:t>
      </w:r>
      <w:r w:rsidRPr="00C5133C">
        <w:rPr>
          <w:rFonts w:ascii="Cambria" w:hAnsi="Cambria"/>
          <w:sz w:val="22"/>
        </w:rPr>
        <w:t xml:space="preserve">digunakan dalam penelitian adalah manajemen laba akrual. Manajemen laba akrual dalam penelitian ini diukur menggunakan proksi </w:t>
      </w:r>
      <w:r w:rsidRPr="00C5133C">
        <w:rPr>
          <w:rFonts w:ascii="Cambria" w:hAnsi="Cambria"/>
          <w:i/>
          <w:sz w:val="22"/>
        </w:rPr>
        <w:t>Discretionary</w:t>
      </w:r>
      <w:r w:rsidRPr="00C5133C">
        <w:rPr>
          <w:rFonts w:ascii="Cambria" w:hAnsi="Cambria"/>
          <w:sz w:val="22"/>
        </w:rPr>
        <w:t xml:space="preserve"> </w:t>
      </w:r>
      <w:r w:rsidRPr="00C5133C">
        <w:rPr>
          <w:rFonts w:ascii="Cambria" w:hAnsi="Cambria"/>
          <w:i/>
          <w:sz w:val="22"/>
        </w:rPr>
        <w:t>Accruals</w:t>
      </w:r>
      <w:r w:rsidRPr="00C5133C">
        <w:rPr>
          <w:rFonts w:ascii="Cambria" w:hAnsi="Cambria"/>
          <w:sz w:val="22"/>
        </w:rPr>
        <w:t xml:space="preserve"> (DAC) model Jones dimodifikasi</w:t>
      </w:r>
      <w:r w:rsidRPr="00C5133C">
        <w:rPr>
          <w:rFonts w:ascii="Cambria" w:hAnsi="Cambria"/>
          <w:sz w:val="22"/>
          <w:lang w:val="en-US"/>
        </w:rPr>
        <w:t xml:space="preserve"> seperti yang digunakan dalam penelit</w:t>
      </w:r>
      <w:r w:rsidR="006D66D8">
        <w:rPr>
          <w:rFonts w:ascii="Cambria" w:hAnsi="Cambria"/>
          <w:sz w:val="22"/>
          <w:lang w:val="en-US"/>
        </w:rPr>
        <w:t>i</w:t>
      </w:r>
      <w:r w:rsidRPr="00C5133C">
        <w:rPr>
          <w:rFonts w:ascii="Cambria" w:hAnsi="Cambria"/>
          <w:sz w:val="22"/>
          <w:lang w:val="en-US"/>
        </w:rPr>
        <w:t xml:space="preserve">an </w:t>
      </w:r>
      <w:r w:rsidRPr="00C5133C">
        <w:rPr>
          <w:rFonts w:ascii="Cambria" w:hAnsi="Cambria"/>
          <w:sz w:val="22"/>
          <w:lang w:val="en-US"/>
        </w:rPr>
        <w:fldChar w:fldCharType="begin" w:fldLock="1"/>
      </w:r>
      <w:r w:rsidRPr="00C5133C">
        <w:rPr>
          <w:rFonts w:ascii="Cambria" w:hAnsi="Cambria"/>
          <w:sz w:val="22"/>
          <w:lang w:val="en-US"/>
        </w:rPr>
        <w:instrText>ADDIN CSL_CITATION {"citationItems":[{"id":"ITEM-1","itemData":{"DOI":"10.35829/econbank.v1i2.48","abstract":"The purpose of this study is knowing the effect of leverage, profitability, capital intensity, and earnings management on tax avoidance. The period of this study is 5 (five) years, from 2013 to 2017. The data used are secondary data. The population is mining sector companies listed on the Indonesia Stock Exchange from 2013 to 2017 with a total of 47 companies. The sample selection is determined by the purpose sampling method and the samples used are 11 companies with a total of 55 data. The data analysis method is multiple linear regression. The results show that profitability, capital intensity, and earnings management negatively affect tax avoidance. Leverage has no effect on tax avoidance.","author":[{"dropping-particle":"","family":"Rifai","given":"Ahmad","non-dropping-particle":"","parse-names":false,"suffix":""},{"dropping-particle":"","family":"Atiningsih","given":"Suci","non-dropping-particle":"","parse-names":false,"suffix":""}],"container-title":"ECONBANK: Journal of Economics and Banking","id":"ITEM-1","issue":"2","issued":{"date-parts":[["2019"]]},"page":"135-142","title":"Pengaruh Leverage, Profitabilitas, Capital Intensity, Manajemen Laba Terhadap Penghindaran Pajak","type":"article-journal","volume":"1"},"uris":["http://www.mendeley.com/documents/?uuid=dbf41dd0-9bd6-49ef-9070-154fb9510cc7"]}],"mendeley":{"formattedCitation":"(Rifai &amp; Atiningsih, 2019)","plainTextFormattedCitation":"(Rifai &amp; Atiningsih, 2019)","previouslyFormattedCitation":"(Rifai &amp; Atiningsih, 2019)"},"properties":{"noteIndex":0},"schema":"https://github.com/citation-style-language/schema/raw/master/csl-citation.json"}</w:instrText>
      </w:r>
      <w:r w:rsidRPr="00C5133C">
        <w:rPr>
          <w:rFonts w:ascii="Cambria" w:hAnsi="Cambria"/>
          <w:sz w:val="22"/>
          <w:lang w:val="en-US"/>
        </w:rPr>
        <w:fldChar w:fldCharType="separate"/>
      </w:r>
      <w:r w:rsidRPr="00C5133C">
        <w:rPr>
          <w:rFonts w:ascii="Cambria" w:hAnsi="Cambria"/>
          <w:noProof/>
          <w:sz w:val="22"/>
          <w:lang w:val="en-US"/>
        </w:rPr>
        <w:t>(Rifai &amp; Atiningsih, 2019)</w:t>
      </w:r>
      <w:r w:rsidRPr="00C5133C">
        <w:rPr>
          <w:rFonts w:ascii="Cambria" w:hAnsi="Cambria"/>
          <w:sz w:val="22"/>
          <w:lang w:val="en-US"/>
        </w:rPr>
        <w:fldChar w:fldCharType="end"/>
      </w:r>
      <w:r w:rsidRPr="00C5133C">
        <w:rPr>
          <w:rFonts w:ascii="Cambria" w:hAnsi="Cambria"/>
          <w:sz w:val="22"/>
        </w:rPr>
        <w:t xml:space="preserve">. Perhitungan yang digunakan untuk menghitung DAC adalah sebagai </w:t>
      </w:r>
      <w:proofErr w:type="gramStart"/>
      <w:r w:rsidRPr="00C5133C">
        <w:rPr>
          <w:rFonts w:ascii="Cambria" w:hAnsi="Cambria"/>
          <w:sz w:val="22"/>
        </w:rPr>
        <w:t>berikut :</w:t>
      </w:r>
      <w:proofErr w:type="gramEnd"/>
    </w:p>
    <w:p w14:paraId="2C2FF659" w14:textId="77777777" w:rsidR="006D2571" w:rsidRPr="00C5133C" w:rsidRDefault="006D2571" w:rsidP="005A547F">
      <w:pPr>
        <w:pStyle w:val="ListParagraph"/>
        <w:numPr>
          <w:ilvl w:val="0"/>
          <w:numId w:val="11"/>
        </w:numPr>
        <w:spacing w:line="276" w:lineRule="auto"/>
        <w:ind w:left="142" w:hanging="142"/>
        <w:rPr>
          <w:rFonts w:ascii="Cambria" w:hAnsi="Cambria" w:cs="Times New Roman"/>
          <w:sz w:val="22"/>
        </w:rPr>
      </w:pPr>
      <w:r w:rsidRPr="00C5133C">
        <w:rPr>
          <w:rFonts w:ascii="Cambria" w:hAnsi="Cambria" w:cs="Times New Roman"/>
          <w:sz w:val="22"/>
        </w:rPr>
        <w:t xml:space="preserve">Menghitung </w:t>
      </w:r>
      <w:r w:rsidRPr="00C5133C">
        <w:rPr>
          <w:rFonts w:ascii="Cambria" w:hAnsi="Cambria" w:cs="Times New Roman"/>
          <w:i/>
          <w:iCs/>
          <w:sz w:val="22"/>
        </w:rPr>
        <w:t>Total</w:t>
      </w:r>
      <w:r w:rsidRPr="00C5133C">
        <w:rPr>
          <w:rFonts w:ascii="Cambria" w:hAnsi="Cambria" w:cs="Times New Roman"/>
          <w:sz w:val="22"/>
        </w:rPr>
        <w:t xml:space="preserve"> </w:t>
      </w:r>
      <w:r w:rsidRPr="00C5133C">
        <w:rPr>
          <w:rFonts w:ascii="Cambria" w:hAnsi="Cambria" w:cs="Times New Roman"/>
          <w:i/>
          <w:sz w:val="22"/>
        </w:rPr>
        <w:t>Accrual</w:t>
      </w:r>
    </w:p>
    <w:p w14:paraId="452CA17B" w14:textId="483D1C63" w:rsidR="00673B33" w:rsidRPr="005A547F" w:rsidRDefault="00673B33" w:rsidP="005A547F">
      <w:pPr>
        <w:pStyle w:val="ListParagraph"/>
        <w:spacing w:line="276" w:lineRule="auto"/>
        <w:ind w:left="142" w:hanging="142"/>
        <w:jc w:val="center"/>
        <w:rPr>
          <w:rFonts w:ascii="Cambria" w:eastAsiaTheme="minorEastAsia" w:hAnsi="Cambria" w:cs="Times New Roman"/>
          <w:b/>
          <w:sz w:val="22"/>
        </w:rPr>
      </w:pPr>
      <m:oMathPara>
        <m:oMath>
          <m:r>
            <m:rPr>
              <m:sty m:val="bi"/>
            </m:rPr>
            <w:rPr>
              <w:rFonts w:ascii="Cambria Math" w:hAnsi="Cambria Math" w:cs="Times New Roman"/>
              <w:sz w:val="22"/>
            </w:rPr>
            <m:t xml:space="preserve">TAC= </m:t>
          </m:r>
          <m:sSub>
            <m:sSubPr>
              <m:ctrlPr>
                <w:rPr>
                  <w:rFonts w:ascii="Cambria Math" w:hAnsi="Cambria Math" w:cs="Times New Roman"/>
                  <w:b/>
                  <w:i/>
                  <w:sz w:val="22"/>
                </w:rPr>
              </m:ctrlPr>
            </m:sSubPr>
            <m:e>
              <m:r>
                <m:rPr>
                  <m:sty m:val="bi"/>
                </m:rPr>
                <w:rPr>
                  <w:rFonts w:ascii="Cambria Math" w:hAnsi="Cambria Math" w:cs="Times New Roman"/>
                  <w:sz w:val="22"/>
                </w:rPr>
                <m:t>NI</m:t>
              </m:r>
            </m:e>
            <m:sub>
              <m:r>
                <m:rPr>
                  <m:sty m:val="bi"/>
                </m:rPr>
                <w:rPr>
                  <w:rFonts w:ascii="Cambria Math" w:hAnsi="Cambria Math" w:cs="Times New Roman"/>
                  <w:sz w:val="22"/>
                </w:rPr>
                <m:t>it</m:t>
              </m:r>
            </m:sub>
          </m:sSub>
          <m:r>
            <m:rPr>
              <m:sty m:val="bi"/>
            </m:rPr>
            <w:rPr>
              <w:rFonts w:ascii="Cambria Math" w:hAnsi="Cambria Math" w:cs="Times New Roman"/>
              <w:sz w:val="22"/>
            </w:rPr>
            <m:t xml:space="preserve">- </m:t>
          </m:r>
          <m:sSub>
            <m:sSubPr>
              <m:ctrlPr>
                <w:rPr>
                  <w:rFonts w:ascii="Cambria Math" w:hAnsi="Cambria Math" w:cs="Times New Roman"/>
                  <w:b/>
                  <w:i/>
                  <w:sz w:val="22"/>
                </w:rPr>
              </m:ctrlPr>
            </m:sSubPr>
            <m:e>
              <m:r>
                <m:rPr>
                  <m:sty m:val="bi"/>
                </m:rPr>
                <w:rPr>
                  <w:rFonts w:ascii="Cambria Math" w:hAnsi="Cambria Math" w:cs="Times New Roman"/>
                  <w:sz w:val="22"/>
                </w:rPr>
                <m:t>CFO</m:t>
              </m:r>
            </m:e>
            <m:sub>
              <m:r>
                <m:rPr>
                  <m:sty m:val="bi"/>
                </m:rPr>
                <w:rPr>
                  <w:rFonts w:ascii="Cambria Math" w:hAnsi="Cambria Math" w:cs="Times New Roman"/>
                  <w:sz w:val="22"/>
                </w:rPr>
                <m:t>it</m:t>
              </m:r>
            </m:sub>
          </m:sSub>
        </m:oMath>
      </m:oMathPara>
    </w:p>
    <w:p w14:paraId="6B76E697" w14:textId="77777777" w:rsidR="005A547F" w:rsidRPr="00673B33" w:rsidRDefault="005A547F" w:rsidP="005A547F">
      <w:pPr>
        <w:pStyle w:val="ListParagraph"/>
        <w:spacing w:line="276" w:lineRule="auto"/>
        <w:ind w:left="142" w:hanging="142"/>
        <w:jc w:val="center"/>
        <w:rPr>
          <w:rFonts w:ascii="Cambria" w:hAnsi="Cambria" w:cs="Times New Roman"/>
          <w:b/>
          <w:sz w:val="22"/>
        </w:rPr>
      </w:pPr>
    </w:p>
    <w:p w14:paraId="7714ACA9" w14:textId="4B792CE2" w:rsidR="006D2571" w:rsidRDefault="006D2571" w:rsidP="005A547F">
      <w:pPr>
        <w:pStyle w:val="ListParagraph"/>
        <w:numPr>
          <w:ilvl w:val="0"/>
          <w:numId w:val="11"/>
        </w:numPr>
        <w:spacing w:line="276" w:lineRule="auto"/>
        <w:ind w:left="142" w:hanging="142"/>
        <w:rPr>
          <w:rFonts w:ascii="Cambria" w:hAnsi="Cambria" w:cs="Times New Roman"/>
          <w:sz w:val="22"/>
        </w:rPr>
      </w:pPr>
      <w:r w:rsidRPr="00C5133C">
        <w:rPr>
          <w:rFonts w:ascii="Cambria" w:hAnsi="Cambria" w:cs="Times New Roman"/>
          <w:sz w:val="22"/>
        </w:rPr>
        <w:t>Me</w:t>
      </w:r>
      <w:r w:rsidRPr="00C5133C">
        <w:rPr>
          <w:rFonts w:ascii="Cambria" w:hAnsi="Cambria" w:cs="Times New Roman"/>
          <w:sz w:val="22"/>
          <w:lang w:val="en-US"/>
        </w:rPr>
        <w:t>lakukan estimasi</w:t>
      </w:r>
      <w:r w:rsidRPr="00C5133C">
        <w:rPr>
          <w:rFonts w:ascii="Cambria" w:hAnsi="Cambria" w:cs="Times New Roman"/>
          <w:sz w:val="22"/>
        </w:rPr>
        <w:t xml:space="preserve"> </w:t>
      </w:r>
      <w:r w:rsidRPr="00C5133C">
        <w:rPr>
          <w:rFonts w:ascii="Cambria" w:hAnsi="Cambria" w:cs="Times New Roman"/>
          <w:i/>
          <w:iCs/>
          <w:sz w:val="22"/>
        </w:rPr>
        <w:t xml:space="preserve">Total </w:t>
      </w:r>
      <w:r w:rsidRPr="00C5133C">
        <w:rPr>
          <w:rFonts w:ascii="Cambria" w:hAnsi="Cambria" w:cs="Times New Roman"/>
          <w:i/>
          <w:sz w:val="22"/>
        </w:rPr>
        <w:t>Accrual</w:t>
      </w:r>
      <w:r w:rsidRPr="00C5133C">
        <w:rPr>
          <w:rFonts w:ascii="Cambria" w:hAnsi="Cambria" w:cs="Times New Roman"/>
          <w:sz w:val="22"/>
        </w:rPr>
        <w:t xml:space="preserve"> (TAC) dengan OLS</w:t>
      </w:r>
    </w:p>
    <w:p w14:paraId="02BBC807" w14:textId="77777777" w:rsidR="005A547F" w:rsidRDefault="005A547F" w:rsidP="005A547F">
      <w:pPr>
        <w:pStyle w:val="ListParagraph"/>
        <w:spacing w:line="276" w:lineRule="auto"/>
        <w:ind w:left="142" w:firstLine="0"/>
        <w:rPr>
          <w:rFonts w:ascii="Cambria" w:hAnsi="Cambria" w:cs="Times New Roman"/>
          <w:sz w:val="22"/>
        </w:rPr>
      </w:pPr>
    </w:p>
    <w:p w14:paraId="6AEDD645" w14:textId="78F5538F" w:rsidR="001404CF" w:rsidRPr="005A547F" w:rsidRDefault="00A612E6" w:rsidP="005A547F">
      <w:pPr>
        <w:pStyle w:val="ListParagraph"/>
        <w:spacing w:line="276" w:lineRule="auto"/>
        <w:ind w:left="142" w:firstLine="0"/>
        <w:rPr>
          <w:rFonts w:ascii="Cambria" w:eastAsiaTheme="minorEastAsia" w:hAnsi="Cambria" w:cs="Times New Roman"/>
          <w:b/>
          <w:sz w:val="22"/>
        </w:rPr>
      </w:pPr>
      <m:oMathPara>
        <m:oMath>
          <m:f>
            <m:fPr>
              <m:ctrlPr>
                <w:rPr>
                  <w:rFonts w:ascii="Cambria Math" w:hAnsi="Cambria Math" w:cs="Times New Roman"/>
                  <w:b/>
                  <w:i/>
                  <w:sz w:val="22"/>
                </w:rPr>
              </m:ctrlPr>
            </m:fPr>
            <m:num>
              <m:sSub>
                <m:sSubPr>
                  <m:ctrlPr>
                    <w:rPr>
                      <w:rFonts w:ascii="Cambria Math" w:hAnsi="Cambria Math" w:cs="Times New Roman"/>
                      <w:b/>
                      <w:i/>
                      <w:sz w:val="22"/>
                    </w:rPr>
                  </m:ctrlPr>
                </m:sSubPr>
                <m:e>
                  <m:r>
                    <m:rPr>
                      <m:sty m:val="bi"/>
                    </m:rPr>
                    <w:rPr>
                      <w:rFonts w:ascii="Cambria Math" w:hAnsi="Cambria Math" w:cs="Times New Roman"/>
                      <w:sz w:val="22"/>
                    </w:rPr>
                    <m:t>TA</m:t>
                  </m:r>
                </m:e>
                <m:sub>
                  <m:r>
                    <m:rPr>
                      <m:sty m:val="bi"/>
                    </m:rPr>
                    <w:rPr>
                      <w:rFonts w:ascii="Cambria Math" w:hAnsi="Cambria Math" w:cs="Times New Roman"/>
                      <w:sz w:val="22"/>
                    </w:rPr>
                    <m:t>it</m:t>
                  </m:r>
                </m:sub>
              </m:sSub>
            </m:num>
            <m:den>
              <m:sSub>
                <m:sSubPr>
                  <m:ctrlPr>
                    <w:rPr>
                      <w:rFonts w:ascii="Cambria Math" w:hAnsi="Cambria Math" w:cs="Times New Roman"/>
                      <w:b/>
                      <w:i/>
                      <w:sz w:val="22"/>
                    </w:rPr>
                  </m:ctrlPr>
                </m:sSubPr>
                <m:e>
                  <m:r>
                    <m:rPr>
                      <m:sty m:val="bi"/>
                    </m:rPr>
                    <w:rPr>
                      <w:rFonts w:ascii="Cambria Math" w:hAnsi="Cambria Math" w:cs="Times New Roman"/>
                      <w:sz w:val="22"/>
                    </w:rPr>
                    <m:t>A</m:t>
                  </m:r>
                </m:e>
                <m:sub>
                  <m:r>
                    <m:rPr>
                      <m:sty m:val="bi"/>
                    </m:rPr>
                    <w:rPr>
                      <w:rFonts w:ascii="Cambria Math" w:hAnsi="Cambria Math" w:cs="Times New Roman"/>
                      <w:sz w:val="22"/>
                    </w:rPr>
                    <m:t>it-1</m:t>
                  </m:r>
                </m:sub>
              </m:sSub>
            </m:den>
          </m:f>
          <m:r>
            <m:rPr>
              <m:sty m:val="bi"/>
            </m:rPr>
            <w:rPr>
              <w:rFonts w:ascii="Cambria Math" w:hAnsi="Cambria Math" w:cs="Times New Roman"/>
              <w:sz w:val="22"/>
            </w:rPr>
            <m:t xml:space="preserve">= </m:t>
          </m:r>
          <m:sSub>
            <m:sSubPr>
              <m:ctrlPr>
                <w:rPr>
                  <w:rFonts w:ascii="Cambria Math" w:hAnsi="Cambria Math" w:cs="Times New Roman"/>
                  <w:b/>
                  <w:i/>
                  <w:sz w:val="22"/>
                </w:rPr>
              </m:ctrlPr>
            </m:sSubPr>
            <m:e>
              <m:r>
                <m:rPr>
                  <m:sty m:val="bi"/>
                </m:rPr>
                <w:rPr>
                  <w:rFonts w:ascii="Cambria Math" w:hAnsi="Cambria Math" w:cs="Times New Roman"/>
                  <w:sz w:val="22"/>
                </w:rPr>
                <m:t>β</m:t>
              </m:r>
            </m:e>
            <m:sub>
              <m:r>
                <m:rPr>
                  <m:sty m:val="bi"/>
                </m:rPr>
                <w:rPr>
                  <w:rFonts w:ascii="Cambria Math" w:hAnsi="Cambria Math" w:cs="Times New Roman"/>
                  <w:sz w:val="22"/>
                </w:rPr>
                <m:t>1</m:t>
              </m:r>
            </m:sub>
          </m:sSub>
          <m:d>
            <m:dPr>
              <m:ctrlPr>
                <w:rPr>
                  <w:rFonts w:ascii="Cambria Math" w:hAnsi="Cambria Math" w:cs="Times New Roman"/>
                  <w:b/>
                  <w:i/>
                  <w:sz w:val="22"/>
                </w:rPr>
              </m:ctrlPr>
            </m:dPr>
            <m:e>
              <m:f>
                <m:fPr>
                  <m:ctrlPr>
                    <w:rPr>
                      <w:rFonts w:ascii="Cambria Math" w:hAnsi="Cambria Math" w:cs="Times New Roman"/>
                      <w:b/>
                      <w:i/>
                      <w:sz w:val="22"/>
                    </w:rPr>
                  </m:ctrlPr>
                </m:fPr>
                <m:num>
                  <m:r>
                    <m:rPr>
                      <m:sty m:val="bi"/>
                    </m:rPr>
                    <w:rPr>
                      <w:rFonts w:ascii="Cambria Math" w:hAnsi="Cambria Math" w:cs="Times New Roman"/>
                      <w:sz w:val="22"/>
                    </w:rPr>
                    <m:t>1</m:t>
                  </m:r>
                </m:num>
                <m:den>
                  <m:sSub>
                    <m:sSubPr>
                      <m:ctrlPr>
                        <w:rPr>
                          <w:rFonts w:ascii="Cambria Math" w:hAnsi="Cambria Math" w:cs="Times New Roman"/>
                          <w:b/>
                          <w:i/>
                          <w:sz w:val="22"/>
                        </w:rPr>
                      </m:ctrlPr>
                    </m:sSubPr>
                    <m:e>
                      <m:r>
                        <m:rPr>
                          <m:sty m:val="bi"/>
                        </m:rPr>
                        <w:rPr>
                          <w:rFonts w:ascii="Cambria Math" w:hAnsi="Cambria Math" w:cs="Times New Roman"/>
                          <w:sz w:val="22"/>
                        </w:rPr>
                        <m:t>A</m:t>
                      </m:r>
                    </m:e>
                    <m:sub>
                      <m:r>
                        <m:rPr>
                          <m:sty m:val="bi"/>
                        </m:rPr>
                        <w:rPr>
                          <w:rFonts w:ascii="Cambria Math" w:hAnsi="Cambria Math" w:cs="Times New Roman"/>
                          <w:sz w:val="22"/>
                        </w:rPr>
                        <m:t>it-1</m:t>
                      </m:r>
                    </m:sub>
                  </m:sSub>
                </m:den>
              </m:f>
            </m:e>
          </m:d>
          <m:r>
            <m:rPr>
              <m:sty m:val="bi"/>
            </m:rPr>
            <w:rPr>
              <w:rFonts w:ascii="Cambria Math" w:hAnsi="Cambria Math" w:cs="Times New Roman"/>
              <w:sz w:val="22"/>
            </w:rPr>
            <m:t xml:space="preserve">+ </m:t>
          </m:r>
          <m:sSub>
            <m:sSubPr>
              <m:ctrlPr>
                <w:rPr>
                  <w:rFonts w:ascii="Cambria Math" w:hAnsi="Cambria Math" w:cs="Times New Roman"/>
                  <w:b/>
                  <w:i/>
                  <w:sz w:val="22"/>
                </w:rPr>
              </m:ctrlPr>
            </m:sSubPr>
            <m:e>
              <m:r>
                <m:rPr>
                  <m:sty m:val="bi"/>
                </m:rPr>
                <w:rPr>
                  <w:rFonts w:ascii="Cambria Math" w:hAnsi="Cambria Math" w:cs="Times New Roman"/>
                  <w:sz w:val="22"/>
                </w:rPr>
                <m:t>β</m:t>
              </m:r>
            </m:e>
            <m:sub>
              <m:r>
                <m:rPr>
                  <m:sty m:val="bi"/>
                </m:rPr>
                <w:rPr>
                  <w:rFonts w:ascii="Cambria Math" w:hAnsi="Cambria Math" w:cs="Times New Roman"/>
                  <w:sz w:val="22"/>
                </w:rPr>
                <m:t>2</m:t>
              </m:r>
            </m:sub>
          </m:sSub>
          <m:d>
            <m:dPr>
              <m:ctrlPr>
                <w:rPr>
                  <w:rFonts w:ascii="Cambria Math" w:hAnsi="Cambria Math" w:cs="Times New Roman"/>
                  <w:b/>
                  <w:i/>
                  <w:sz w:val="22"/>
                </w:rPr>
              </m:ctrlPr>
            </m:dPr>
            <m:e>
              <m:f>
                <m:fPr>
                  <m:ctrlPr>
                    <w:rPr>
                      <w:rFonts w:ascii="Cambria Math" w:hAnsi="Cambria Math" w:cs="Times New Roman"/>
                      <w:b/>
                      <w:i/>
                      <w:sz w:val="22"/>
                    </w:rPr>
                  </m:ctrlPr>
                </m:fPr>
                <m:num>
                  <m:r>
                    <m:rPr>
                      <m:sty m:val="b"/>
                    </m:rPr>
                    <w:rPr>
                      <w:rFonts w:ascii="Cambria Math" w:hAnsi="Cambria Math" w:cs="Times New Roman"/>
                      <w:sz w:val="22"/>
                    </w:rPr>
                    <m:t>Δ</m:t>
                  </m:r>
                  <m:sSub>
                    <m:sSubPr>
                      <m:ctrlPr>
                        <w:rPr>
                          <w:rFonts w:ascii="Cambria Math" w:hAnsi="Cambria Math" w:cs="Times New Roman"/>
                          <w:b/>
                          <w:sz w:val="22"/>
                        </w:rPr>
                      </m:ctrlPr>
                    </m:sSubPr>
                    <m:e>
                      <m:r>
                        <m:rPr>
                          <m:sty m:val="bi"/>
                        </m:rPr>
                        <w:rPr>
                          <w:rFonts w:ascii="Cambria Math" w:hAnsi="Cambria Math" w:cs="Times New Roman"/>
                          <w:sz w:val="22"/>
                        </w:rPr>
                        <m:t>rev</m:t>
                      </m:r>
                    </m:e>
                    <m:sub>
                      <m:r>
                        <m:rPr>
                          <m:sty m:val="bi"/>
                        </m:rPr>
                        <w:rPr>
                          <w:rFonts w:ascii="Cambria Math" w:hAnsi="Cambria Math" w:cs="Times New Roman"/>
                          <w:sz w:val="22"/>
                        </w:rPr>
                        <m:t>it</m:t>
                      </m:r>
                    </m:sub>
                  </m:sSub>
                </m:num>
                <m:den>
                  <m:sSub>
                    <m:sSubPr>
                      <m:ctrlPr>
                        <w:rPr>
                          <w:rFonts w:ascii="Cambria Math" w:hAnsi="Cambria Math" w:cs="Times New Roman"/>
                          <w:b/>
                          <w:i/>
                          <w:sz w:val="22"/>
                        </w:rPr>
                      </m:ctrlPr>
                    </m:sSubPr>
                    <m:e>
                      <m:r>
                        <m:rPr>
                          <m:sty m:val="bi"/>
                        </m:rPr>
                        <w:rPr>
                          <w:rFonts w:ascii="Cambria Math" w:hAnsi="Cambria Math" w:cs="Times New Roman"/>
                          <w:sz w:val="22"/>
                        </w:rPr>
                        <m:t>A</m:t>
                      </m:r>
                    </m:e>
                    <m:sub>
                      <m:r>
                        <m:rPr>
                          <m:sty m:val="bi"/>
                        </m:rPr>
                        <w:rPr>
                          <w:rFonts w:ascii="Cambria Math" w:hAnsi="Cambria Math" w:cs="Times New Roman"/>
                          <w:sz w:val="22"/>
                        </w:rPr>
                        <m:t>it-1</m:t>
                      </m:r>
                    </m:sub>
                  </m:sSub>
                </m:den>
              </m:f>
            </m:e>
          </m:d>
          <m:r>
            <m:rPr>
              <m:sty m:val="bi"/>
            </m:rPr>
            <w:rPr>
              <w:rFonts w:ascii="Cambria Math" w:hAnsi="Cambria Math" w:cs="Times New Roman"/>
              <w:sz w:val="22"/>
            </w:rPr>
            <m:t>+</m:t>
          </m:r>
          <m:sSub>
            <m:sSubPr>
              <m:ctrlPr>
                <w:rPr>
                  <w:rFonts w:ascii="Cambria Math" w:hAnsi="Cambria Math" w:cs="Times New Roman"/>
                  <w:b/>
                  <w:i/>
                  <w:sz w:val="22"/>
                </w:rPr>
              </m:ctrlPr>
            </m:sSubPr>
            <m:e>
              <m:r>
                <m:rPr>
                  <m:sty m:val="bi"/>
                </m:rPr>
                <w:rPr>
                  <w:rFonts w:ascii="Cambria Math" w:hAnsi="Cambria Math" w:cs="Times New Roman"/>
                  <w:sz w:val="22"/>
                </w:rPr>
                <m:t>β</m:t>
              </m:r>
            </m:e>
            <m:sub>
              <m:r>
                <m:rPr>
                  <m:sty m:val="bi"/>
                </m:rPr>
                <w:rPr>
                  <w:rFonts w:ascii="Cambria Math" w:hAnsi="Cambria Math" w:cs="Times New Roman"/>
                  <w:sz w:val="22"/>
                </w:rPr>
                <m:t>3</m:t>
              </m:r>
            </m:sub>
          </m:sSub>
          <m:d>
            <m:dPr>
              <m:ctrlPr>
                <w:rPr>
                  <w:rFonts w:ascii="Cambria Math" w:hAnsi="Cambria Math" w:cs="Times New Roman"/>
                  <w:b/>
                  <w:i/>
                  <w:sz w:val="22"/>
                </w:rPr>
              </m:ctrlPr>
            </m:dPr>
            <m:e>
              <m:f>
                <m:fPr>
                  <m:ctrlPr>
                    <w:rPr>
                      <w:rFonts w:ascii="Cambria Math" w:hAnsi="Cambria Math" w:cs="Times New Roman"/>
                      <w:b/>
                      <w:i/>
                      <w:sz w:val="22"/>
                    </w:rPr>
                  </m:ctrlPr>
                </m:fPr>
                <m:num>
                  <m:sSub>
                    <m:sSubPr>
                      <m:ctrlPr>
                        <w:rPr>
                          <w:rFonts w:ascii="Cambria Math" w:hAnsi="Cambria Math" w:cs="Times New Roman"/>
                          <w:b/>
                          <w:sz w:val="22"/>
                        </w:rPr>
                      </m:ctrlPr>
                    </m:sSubPr>
                    <m:e>
                      <m:r>
                        <m:rPr>
                          <m:sty m:val="bi"/>
                        </m:rPr>
                        <w:rPr>
                          <w:rFonts w:ascii="Cambria Math" w:hAnsi="Cambria Math" w:cs="Times New Roman"/>
                          <w:sz w:val="22"/>
                        </w:rPr>
                        <m:t>PPE</m:t>
                      </m:r>
                    </m:e>
                    <m:sub>
                      <m:r>
                        <m:rPr>
                          <m:sty m:val="bi"/>
                        </m:rPr>
                        <w:rPr>
                          <w:rFonts w:ascii="Cambria Math" w:hAnsi="Cambria Math" w:cs="Times New Roman"/>
                          <w:sz w:val="22"/>
                        </w:rPr>
                        <m:t>it</m:t>
                      </m:r>
                    </m:sub>
                  </m:sSub>
                </m:num>
                <m:den>
                  <m:sSub>
                    <m:sSubPr>
                      <m:ctrlPr>
                        <w:rPr>
                          <w:rFonts w:ascii="Cambria Math" w:hAnsi="Cambria Math" w:cs="Times New Roman"/>
                          <w:b/>
                          <w:i/>
                          <w:sz w:val="22"/>
                        </w:rPr>
                      </m:ctrlPr>
                    </m:sSubPr>
                    <m:e>
                      <m:r>
                        <m:rPr>
                          <m:sty m:val="bi"/>
                        </m:rPr>
                        <w:rPr>
                          <w:rFonts w:ascii="Cambria Math" w:hAnsi="Cambria Math" w:cs="Times New Roman"/>
                          <w:sz w:val="22"/>
                        </w:rPr>
                        <m:t>A</m:t>
                      </m:r>
                    </m:e>
                    <m:sub>
                      <m:r>
                        <m:rPr>
                          <m:sty m:val="bi"/>
                        </m:rPr>
                        <w:rPr>
                          <w:rFonts w:ascii="Cambria Math" w:hAnsi="Cambria Math" w:cs="Times New Roman"/>
                          <w:sz w:val="22"/>
                        </w:rPr>
                        <m:t>it-1</m:t>
                      </m:r>
                    </m:sub>
                  </m:sSub>
                </m:den>
              </m:f>
            </m:e>
          </m:d>
          <m:r>
            <m:rPr>
              <m:sty m:val="bi"/>
            </m:rPr>
            <w:rPr>
              <w:rFonts w:ascii="Cambria Math" w:hAnsi="Cambria Math" w:cs="Times New Roman"/>
              <w:sz w:val="22"/>
            </w:rPr>
            <m:t>+ε</m:t>
          </m:r>
        </m:oMath>
      </m:oMathPara>
    </w:p>
    <w:p w14:paraId="76939CCB" w14:textId="77777777" w:rsidR="005A547F" w:rsidRPr="00C5133C" w:rsidRDefault="005A547F" w:rsidP="005A547F">
      <w:pPr>
        <w:pStyle w:val="ListParagraph"/>
        <w:spacing w:line="276" w:lineRule="auto"/>
        <w:ind w:left="142" w:firstLine="0"/>
        <w:rPr>
          <w:rFonts w:ascii="Cambria" w:hAnsi="Cambria" w:cs="Times New Roman"/>
          <w:sz w:val="22"/>
        </w:rPr>
      </w:pPr>
    </w:p>
    <w:p w14:paraId="3AFB5BF9" w14:textId="52ED36D3" w:rsidR="006D2571" w:rsidRDefault="006D2571" w:rsidP="005A547F">
      <w:pPr>
        <w:pStyle w:val="ListParagraph"/>
        <w:numPr>
          <w:ilvl w:val="0"/>
          <w:numId w:val="11"/>
        </w:numPr>
        <w:spacing w:line="276" w:lineRule="auto"/>
        <w:ind w:left="142" w:hanging="142"/>
        <w:rPr>
          <w:rFonts w:ascii="Cambria" w:hAnsi="Cambria" w:cs="Times New Roman"/>
          <w:sz w:val="22"/>
        </w:rPr>
      </w:pPr>
      <w:r w:rsidRPr="00C5133C">
        <w:rPr>
          <w:rFonts w:ascii="Cambria" w:hAnsi="Cambria" w:cs="Times New Roman"/>
          <w:sz w:val="22"/>
        </w:rPr>
        <w:t xml:space="preserve">Menghitung </w:t>
      </w:r>
      <w:r w:rsidRPr="00C5133C">
        <w:rPr>
          <w:rFonts w:ascii="Cambria" w:hAnsi="Cambria" w:cs="Times New Roman"/>
          <w:i/>
          <w:iCs/>
          <w:sz w:val="22"/>
        </w:rPr>
        <w:t>Non</w:t>
      </w:r>
      <w:r w:rsidRPr="00C5133C">
        <w:rPr>
          <w:rFonts w:ascii="Cambria" w:hAnsi="Cambria" w:cs="Times New Roman"/>
          <w:i/>
          <w:sz w:val="22"/>
        </w:rPr>
        <w:t>Discretionary</w:t>
      </w:r>
      <w:r w:rsidRPr="00C5133C">
        <w:rPr>
          <w:rFonts w:ascii="Cambria" w:hAnsi="Cambria" w:cs="Times New Roman"/>
          <w:sz w:val="22"/>
        </w:rPr>
        <w:t xml:space="preserve"> </w:t>
      </w:r>
      <w:r w:rsidRPr="00C5133C">
        <w:rPr>
          <w:rFonts w:ascii="Cambria" w:hAnsi="Cambria" w:cs="Times New Roman"/>
          <w:i/>
          <w:sz w:val="22"/>
        </w:rPr>
        <w:t>Accruals</w:t>
      </w:r>
      <w:r w:rsidRPr="00C5133C">
        <w:rPr>
          <w:rFonts w:ascii="Cambria" w:hAnsi="Cambria" w:cs="Times New Roman"/>
          <w:sz w:val="22"/>
        </w:rPr>
        <w:t xml:space="preserve"> dengan formula:</w:t>
      </w:r>
    </w:p>
    <w:p w14:paraId="715D2C11" w14:textId="77777777" w:rsidR="005A547F" w:rsidRPr="005A547F" w:rsidRDefault="005A547F" w:rsidP="005A547F">
      <w:pPr>
        <w:spacing w:line="276" w:lineRule="auto"/>
        <w:ind w:firstLine="0"/>
        <w:rPr>
          <w:rFonts w:ascii="Cambria" w:hAnsi="Cambria" w:cs="Times New Roman"/>
          <w:sz w:val="22"/>
        </w:rPr>
      </w:pPr>
    </w:p>
    <w:p w14:paraId="636C1CB6" w14:textId="7C4355A4" w:rsidR="005A547F" w:rsidRPr="005A547F" w:rsidRDefault="00A612E6" w:rsidP="005A547F">
      <w:pPr>
        <w:pStyle w:val="ListParagraph"/>
        <w:spacing w:line="276" w:lineRule="auto"/>
        <w:ind w:left="142" w:firstLine="0"/>
        <w:rPr>
          <w:rFonts w:ascii="Cambria" w:eastAsiaTheme="minorEastAsia" w:hAnsi="Cambria" w:cs="Times New Roman"/>
          <w:b/>
          <w:sz w:val="22"/>
        </w:rPr>
      </w:pPr>
      <m:oMathPara>
        <m:oMath>
          <m:sSub>
            <m:sSubPr>
              <m:ctrlPr>
                <w:rPr>
                  <w:rFonts w:ascii="Cambria Math" w:hAnsi="Cambria Math" w:cs="Times New Roman"/>
                  <w:b/>
                  <w:i/>
                  <w:sz w:val="22"/>
                </w:rPr>
              </m:ctrlPr>
            </m:sSubPr>
            <m:e>
              <m:r>
                <m:rPr>
                  <m:sty m:val="bi"/>
                </m:rPr>
                <w:rPr>
                  <w:rFonts w:ascii="Cambria Math" w:hAnsi="Cambria Math" w:cs="Times New Roman"/>
                  <w:sz w:val="22"/>
                </w:rPr>
                <m:t>NDA</m:t>
              </m:r>
            </m:e>
            <m:sub>
              <m:r>
                <m:rPr>
                  <m:sty m:val="bi"/>
                </m:rPr>
                <w:rPr>
                  <w:rFonts w:ascii="Cambria Math" w:hAnsi="Cambria Math" w:cs="Times New Roman"/>
                  <w:sz w:val="22"/>
                </w:rPr>
                <m:t>it</m:t>
              </m:r>
            </m:sub>
          </m:sSub>
          <m:r>
            <m:rPr>
              <m:sty m:val="bi"/>
            </m:rPr>
            <w:rPr>
              <w:rFonts w:ascii="Cambria Math" w:hAnsi="Cambria Math" w:cs="Times New Roman"/>
              <w:sz w:val="22"/>
            </w:rPr>
            <m:t xml:space="preserve">= </m:t>
          </m:r>
          <m:sSub>
            <m:sSubPr>
              <m:ctrlPr>
                <w:rPr>
                  <w:rFonts w:ascii="Cambria Math" w:hAnsi="Cambria Math" w:cs="Times New Roman"/>
                  <w:b/>
                  <w:i/>
                  <w:sz w:val="22"/>
                </w:rPr>
              </m:ctrlPr>
            </m:sSubPr>
            <m:e>
              <m:r>
                <m:rPr>
                  <m:sty m:val="bi"/>
                </m:rPr>
                <w:rPr>
                  <w:rFonts w:ascii="Cambria Math" w:hAnsi="Cambria Math" w:cs="Times New Roman"/>
                  <w:sz w:val="22"/>
                </w:rPr>
                <m:t>β</m:t>
              </m:r>
            </m:e>
            <m:sub>
              <m:r>
                <m:rPr>
                  <m:sty m:val="bi"/>
                </m:rPr>
                <w:rPr>
                  <w:rFonts w:ascii="Cambria Math" w:hAnsi="Cambria Math" w:cs="Times New Roman"/>
                  <w:sz w:val="22"/>
                </w:rPr>
                <m:t>1</m:t>
              </m:r>
            </m:sub>
          </m:sSub>
          <m:d>
            <m:dPr>
              <m:ctrlPr>
                <w:rPr>
                  <w:rFonts w:ascii="Cambria Math" w:hAnsi="Cambria Math" w:cs="Times New Roman"/>
                  <w:b/>
                  <w:i/>
                  <w:sz w:val="22"/>
                </w:rPr>
              </m:ctrlPr>
            </m:dPr>
            <m:e>
              <m:f>
                <m:fPr>
                  <m:ctrlPr>
                    <w:rPr>
                      <w:rFonts w:ascii="Cambria Math" w:hAnsi="Cambria Math" w:cs="Times New Roman"/>
                      <w:b/>
                      <w:i/>
                      <w:sz w:val="22"/>
                    </w:rPr>
                  </m:ctrlPr>
                </m:fPr>
                <m:num>
                  <m:r>
                    <m:rPr>
                      <m:sty m:val="bi"/>
                    </m:rPr>
                    <w:rPr>
                      <w:rFonts w:ascii="Cambria Math" w:hAnsi="Cambria Math" w:cs="Times New Roman"/>
                      <w:sz w:val="22"/>
                    </w:rPr>
                    <m:t>1</m:t>
                  </m:r>
                </m:num>
                <m:den>
                  <m:sSub>
                    <m:sSubPr>
                      <m:ctrlPr>
                        <w:rPr>
                          <w:rFonts w:ascii="Cambria Math" w:hAnsi="Cambria Math" w:cs="Times New Roman"/>
                          <w:b/>
                          <w:i/>
                          <w:sz w:val="22"/>
                        </w:rPr>
                      </m:ctrlPr>
                    </m:sSubPr>
                    <m:e>
                      <m:r>
                        <m:rPr>
                          <m:sty m:val="bi"/>
                        </m:rPr>
                        <w:rPr>
                          <w:rFonts w:ascii="Cambria Math" w:hAnsi="Cambria Math" w:cs="Times New Roman"/>
                          <w:sz w:val="22"/>
                        </w:rPr>
                        <m:t>A</m:t>
                      </m:r>
                    </m:e>
                    <m:sub>
                      <m:r>
                        <m:rPr>
                          <m:sty m:val="bi"/>
                        </m:rPr>
                        <w:rPr>
                          <w:rFonts w:ascii="Cambria Math" w:hAnsi="Cambria Math" w:cs="Times New Roman"/>
                          <w:sz w:val="22"/>
                        </w:rPr>
                        <m:t>it-1</m:t>
                      </m:r>
                    </m:sub>
                  </m:sSub>
                </m:den>
              </m:f>
            </m:e>
          </m:d>
          <m:r>
            <m:rPr>
              <m:sty m:val="bi"/>
            </m:rPr>
            <w:rPr>
              <w:rFonts w:ascii="Cambria Math" w:hAnsi="Cambria Math" w:cs="Times New Roman"/>
              <w:sz w:val="22"/>
            </w:rPr>
            <m:t xml:space="preserve">+ </m:t>
          </m:r>
          <m:sSub>
            <m:sSubPr>
              <m:ctrlPr>
                <w:rPr>
                  <w:rFonts w:ascii="Cambria Math" w:hAnsi="Cambria Math" w:cs="Times New Roman"/>
                  <w:b/>
                  <w:i/>
                  <w:sz w:val="22"/>
                </w:rPr>
              </m:ctrlPr>
            </m:sSubPr>
            <m:e>
              <m:r>
                <m:rPr>
                  <m:sty m:val="bi"/>
                </m:rPr>
                <w:rPr>
                  <w:rFonts w:ascii="Cambria Math" w:hAnsi="Cambria Math" w:cs="Times New Roman"/>
                  <w:sz w:val="22"/>
                </w:rPr>
                <m:t>β</m:t>
              </m:r>
            </m:e>
            <m:sub>
              <m:r>
                <m:rPr>
                  <m:sty m:val="bi"/>
                </m:rPr>
                <w:rPr>
                  <w:rFonts w:ascii="Cambria Math" w:hAnsi="Cambria Math" w:cs="Times New Roman"/>
                  <w:sz w:val="22"/>
                </w:rPr>
                <m:t>2</m:t>
              </m:r>
            </m:sub>
          </m:sSub>
          <m:d>
            <m:dPr>
              <m:ctrlPr>
                <w:rPr>
                  <w:rFonts w:ascii="Cambria Math" w:hAnsi="Cambria Math" w:cs="Times New Roman"/>
                  <w:b/>
                  <w:i/>
                  <w:sz w:val="22"/>
                </w:rPr>
              </m:ctrlPr>
            </m:dPr>
            <m:e>
              <m:f>
                <m:fPr>
                  <m:ctrlPr>
                    <w:rPr>
                      <w:rFonts w:ascii="Cambria Math" w:hAnsi="Cambria Math" w:cs="Times New Roman"/>
                      <w:b/>
                      <w:i/>
                      <w:sz w:val="22"/>
                    </w:rPr>
                  </m:ctrlPr>
                </m:fPr>
                <m:num>
                  <m:r>
                    <m:rPr>
                      <m:sty m:val="b"/>
                    </m:rPr>
                    <w:rPr>
                      <w:rFonts w:ascii="Cambria Math" w:hAnsi="Cambria Math" w:cs="Times New Roman"/>
                      <w:sz w:val="22"/>
                    </w:rPr>
                    <m:t>Δ</m:t>
                  </m:r>
                  <m:sSub>
                    <m:sSubPr>
                      <m:ctrlPr>
                        <w:rPr>
                          <w:rFonts w:ascii="Cambria Math" w:hAnsi="Cambria Math" w:cs="Times New Roman"/>
                          <w:b/>
                          <w:sz w:val="22"/>
                        </w:rPr>
                      </m:ctrlPr>
                    </m:sSubPr>
                    <m:e>
                      <m:r>
                        <m:rPr>
                          <m:sty m:val="bi"/>
                        </m:rPr>
                        <w:rPr>
                          <w:rFonts w:ascii="Cambria Math" w:hAnsi="Cambria Math" w:cs="Times New Roman"/>
                          <w:sz w:val="22"/>
                        </w:rPr>
                        <m:t>Rev</m:t>
                      </m:r>
                    </m:e>
                    <m:sub>
                      <m:r>
                        <m:rPr>
                          <m:sty m:val="bi"/>
                        </m:rPr>
                        <w:rPr>
                          <w:rFonts w:ascii="Cambria Math" w:hAnsi="Cambria Math" w:cs="Times New Roman"/>
                          <w:sz w:val="22"/>
                        </w:rPr>
                        <m:t>it</m:t>
                      </m:r>
                    </m:sub>
                  </m:sSub>
                </m:num>
                <m:den>
                  <m:sSub>
                    <m:sSubPr>
                      <m:ctrlPr>
                        <w:rPr>
                          <w:rFonts w:ascii="Cambria Math" w:hAnsi="Cambria Math" w:cs="Times New Roman"/>
                          <w:b/>
                          <w:i/>
                          <w:sz w:val="22"/>
                        </w:rPr>
                      </m:ctrlPr>
                    </m:sSubPr>
                    <m:e>
                      <m:r>
                        <m:rPr>
                          <m:sty m:val="bi"/>
                        </m:rPr>
                        <w:rPr>
                          <w:rFonts w:ascii="Cambria Math" w:hAnsi="Cambria Math" w:cs="Times New Roman"/>
                          <w:sz w:val="22"/>
                        </w:rPr>
                        <m:t>A</m:t>
                      </m:r>
                    </m:e>
                    <m:sub>
                      <m:r>
                        <m:rPr>
                          <m:sty m:val="bi"/>
                        </m:rPr>
                        <w:rPr>
                          <w:rFonts w:ascii="Cambria Math" w:hAnsi="Cambria Math" w:cs="Times New Roman"/>
                          <w:sz w:val="22"/>
                        </w:rPr>
                        <m:t>it-1</m:t>
                      </m:r>
                    </m:sub>
                  </m:sSub>
                </m:den>
              </m:f>
              <m:r>
                <m:rPr>
                  <m:sty m:val="bi"/>
                </m:rPr>
                <w:rPr>
                  <w:rFonts w:ascii="Cambria Math" w:hAnsi="Cambria Math" w:cs="Times New Roman"/>
                  <w:sz w:val="22"/>
                </w:rPr>
                <m:t>-</m:t>
              </m:r>
              <m:f>
                <m:fPr>
                  <m:ctrlPr>
                    <w:rPr>
                      <w:rFonts w:ascii="Cambria Math" w:hAnsi="Cambria Math" w:cs="Times New Roman"/>
                      <w:b/>
                      <w:i/>
                      <w:sz w:val="22"/>
                    </w:rPr>
                  </m:ctrlPr>
                </m:fPr>
                <m:num>
                  <m:r>
                    <m:rPr>
                      <m:sty m:val="b"/>
                    </m:rPr>
                    <w:rPr>
                      <w:rFonts w:ascii="Cambria Math" w:hAnsi="Cambria Math" w:cs="Times New Roman"/>
                      <w:sz w:val="22"/>
                    </w:rPr>
                    <m:t>Δ</m:t>
                  </m:r>
                  <m:sSub>
                    <m:sSubPr>
                      <m:ctrlPr>
                        <w:rPr>
                          <w:rFonts w:ascii="Cambria Math" w:hAnsi="Cambria Math" w:cs="Times New Roman"/>
                          <w:b/>
                          <w:sz w:val="22"/>
                        </w:rPr>
                      </m:ctrlPr>
                    </m:sSubPr>
                    <m:e>
                      <m:r>
                        <m:rPr>
                          <m:sty m:val="bi"/>
                        </m:rPr>
                        <w:rPr>
                          <w:rFonts w:ascii="Cambria Math" w:hAnsi="Cambria Math" w:cs="Times New Roman"/>
                          <w:sz w:val="22"/>
                        </w:rPr>
                        <m:t>Rec</m:t>
                      </m:r>
                    </m:e>
                    <m:sub>
                      <m:r>
                        <m:rPr>
                          <m:sty m:val="bi"/>
                        </m:rPr>
                        <w:rPr>
                          <w:rFonts w:ascii="Cambria Math" w:hAnsi="Cambria Math" w:cs="Times New Roman"/>
                          <w:sz w:val="22"/>
                        </w:rPr>
                        <m:t>it</m:t>
                      </m:r>
                    </m:sub>
                  </m:sSub>
                </m:num>
                <m:den>
                  <m:sSub>
                    <m:sSubPr>
                      <m:ctrlPr>
                        <w:rPr>
                          <w:rFonts w:ascii="Cambria Math" w:hAnsi="Cambria Math" w:cs="Times New Roman"/>
                          <w:b/>
                          <w:i/>
                          <w:sz w:val="22"/>
                        </w:rPr>
                      </m:ctrlPr>
                    </m:sSubPr>
                    <m:e>
                      <m:r>
                        <m:rPr>
                          <m:sty m:val="bi"/>
                        </m:rPr>
                        <w:rPr>
                          <w:rFonts w:ascii="Cambria Math" w:hAnsi="Cambria Math" w:cs="Times New Roman"/>
                          <w:sz w:val="22"/>
                        </w:rPr>
                        <m:t>A</m:t>
                      </m:r>
                    </m:e>
                    <m:sub>
                      <m:r>
                        <m:rPr>
                          <m:sty m:val="bi"/>
                        </m:rPr>
                        <w:rPr>
                          <w:rFonts w:ascii="Cambria Math" w:hAnsi="Cambria Math" w:cs="Times New Roman"/>
                          <w:sz w:val="22"/>
                        </w:rPr>
                        <m:t>it-1</m:t>
                      </m:r>
                    </m:sub>
                  </m:sSub>
                </m:den>
              </m:f>
            </m:e>
          </m:d>
          <m:r>
            <m:rPr>
              <m:sty m:val="bi"/>
            </m:rPr>
            <w:rPr>
              <w:rFonts w:ascii="Cambria Math" w:hAnsi="Cambria Math" w:cs="Times New Roman"/>
              <w:sz w:val="22"/>
            </w:rPr>
            <m:t>+</m:t>
          </m:r>
          <m:sSub>
            <m:sSubPr>
              <m:ctrlPr>
                <w:rPr>
                  <w:rFonts w:ascii="Cambria Math" w:hAnsi="Cambria Math" w:cs="Times New Roman"/>
                  <w:b/>
                  <w:i/>
                  <w:sz w:val="22"/>
                </w:rPr>
              </m:ctrlPr>
            </m:sSubPr>
            <m:e>
              <m:r>
                <m:rPr>
                  <m:sty m:val="bi"/>
                </m:rPr>
                <w:rPr>
                  <w:rFonts w:ascii="Cambria Math" w:hAnsi="Cambria Math" w:cs="Times New Roman"/>
                  <w:sz w:val="22"/>
                </w:rPr>
                <m:t>β</m:t>
              </m:r>
            </m:e>
            <m:sub>
              <m:r>
                <m:rPr>
                  <m:sty m:val="bi"/>
                </m:rPr>
                <w:rPr>
                  <w:rFonts w:ascii="Cambria Math" w:hAnsi="Cambria Math" w:cs="Times New Roman"/>
                  <w:sz w:val="22"/>
                </w:rPr>
                <m:t>3</m:t>
              </m:r>
            </m:sub>
          </m:sSub>
          <m:d>
            <m:dPr>
              <m:ctrlPr>
                <w:rPr>
                  <w:rFonts w:ascii="Cambria Math" w:hAnsi="Cambria Math" w:cs="Times New Roman"/>
                  <w:b/>
                  <w:i/>
                  <w:sz w:val="22"/>
                </w:rPr>
              </m:ctrlPr>
            </m:dPr>
            <m:e>
              <m:f>
                <m:fPr>
                  <m:ctrlPr>
                    <w:rPr>
                      <w:rFonts w:ascii="Cambria Math" w:hAnsi="Cambria Math" w:cs="Times New Roman"/>
                      <w:b/>
                      <w:i/>
                      <w:sz w:val="22"/>
                    </w:rPr>
                  </m:ctrlPr>
                </m:fPr>
                <m:num>
                  <m:sSub>
                    <m:sSubPr>
                      <m:ctrlPr>
                        <w:rPr>
                          <w:rFonts w:ascii="Cambria Math" w:hAnsi="Cambria Math" w:cs="Times New Roman"/>
                          <w:b/>
                          <w:sz w:val="22"/>
                        </w:rPr>
                      </m:ctrlPr>
                    </m:sSubPr>
                    <m:e>
                      <m:r>
                        <m:rPr>
                          <m:sty m:val="bi"/>
                        </m:rPr>
                        <w:rPr>
                          <w:rFonts w:ascii="Cambria Math" w:hAnsi="Cambria Math" w:cs="Times New Roman"/>
                          <w:sz w:val="22"/>
                        </w:rPr>
                        <m:t>PPE</m:t>
                      </m:r>
                    </m:e>
                    <m:sub>
                      <m:r>
                        <m:rPr>
                          <m:sty m:val="bi"/>
                        </m:rPr>
                        <w:rPr>
                          <w:rFonts w:ascii="Cambria Math" w:hAnsi="Cambria Math" w:cs="Times New Roman"/>
                          <w:sz w:val="22"/>
                        </w:rPr>
                        <m:t>it</m:t>
                      </m:r>
                    </m:sub>
                  </m:sSub>
                </m:num>
                <m:den>
                  <m:sSub>
                    <m:sSubPr>
                      <m:ctrlPr>
                        <w:rPr>
                          <w:rFonts w:ascii="Cambria Math" w:hAnsi="Cambria Math" w:cs="Times New Roman"/>
                          <w:b/>
                          <w:i/>
                          <w:sz w:val="22"/>
                        </w:rPr>
                      </m:ctrlPr>
                    </m:sSubPr>
                    <m:e>
                      <m:r>
                        <m:rPr>
                          <m:sty m:val="bi"/>
                        </m:rPr>
                        <w:rPr>
                          <w:rFonts w:ascii="Cambria Math" w:hAnsi="Cambria Math" w:cs="Times New Roman"/>
                          <w:sz w:val="22"/>
                        </w:rPr>
                        <m:t>A</m:t>
                      </m:r>
                    </m:e>
                    <m:sub>
                      <m:r>
                        <m:rPr>
                          <m:sty m:val="bi"/>
                        </m:rPr>
                        <w:rPr>
                          <w:rFonts w:ascii="Cambria Math" w:hAnsi="Cambria Math" w:cs="Times New Roman"/>
                          <w:sz w:val="22"/>
                        </w:rPr>
                        <m:t>it-1</m:t>
                      </m:r>
                    </m:sub>
                  </m:sSub>
                </m:den>
              </m:f>
            </m:e>
          </m:d>
        </m:oMath>
      </m:oMathPara>
    </w:p>
    <w:p w14:paraId="3E39614D" w14:textId="77777777" w:rsidR="005A547F" w:rsidRPr="00C5133C" w:rsidRDefault="005A547F" w:rsidP="005A547F">
      <w:pPr>
        <w:pStyle w:val="ListParagraph"/>
        <w:spacing w:line="276" w:lineRule="auto"/>
        <w:ind w:left="142" w:firstLine="0"/>
        <w:rPr>
          <w:rFonts w:ascii="Cambria" w:hAnsi="Cambria" w:cs="Times New Roman"/>
          <w:sz w:val="22"/>
        </w:rPr>
      </w:pPr>
    </w:p>
    <w:p w14:paraId="33B83A0F" w14:textId="0212ED06" w:rsidR="006D2571" w:rsidRDefault="006D2571" w:rsidP="005A547F">
      <w:pPr>
        <w:pStyle w:val="ListParagraph"/>
        <w:numPr>
          <w:ilvl w:val="0"/>
          <w:numId w:val="11"/>
        </w:numPr>
        <w:spacing w:line="276" w:lineRule="auto"/>
        <w:ind w:left="142" w:hanging="142"/>
        <w:rPr>
          <w:rFonts w:ascii="Cambria" w:hAnsi="Cambria" w:cs="Times New Roman"/>
          <w:sz w:val="22"/>
        </w:rPr>
      </w:pPr>
      <w:r w:rsidRPr="00C5133C">
        <w:rPr>
          <w:rFonts w:ascii="Cambria" w:hAnsi="Cambria" w:cs="Times New Roman"/>
          <w:sz w:val="22"/>
        </w:rPr>
        <w:t xml:space="preserve">Menghitung </w:t>
      </w:r>
      <w:r w:rsidRPr="00C5133C">
        <w:rPr>
          <w:rFonts w:ascii="Cambria" w:hAnsi="Cambria" w:cs="Times New Roman"/>
          <w:i/>
          <w:sz w:val="22"/>
        </w:rPr>
        <w:t>Discretionary</w:t>
      </w:r>
      <w:r w:rsidRPr="00C5133C">
        <w:rPr>
          <w:rFonts w:ascii="Cambria" w:hAnsi="Cambria" w:cs="Times New Roman"/>
          <w:sz w:val="22"/>
        </w:rPr>
        <w:t xml:space="preserve"> </w:t>
      </w:r>
      <w:r w:rsidRPr="00C5133C">
        <w:rPr>
          <w:rFonts w:ascii="Cambria" w:hAnsi="Cambria" w:cs="Times New Roman"/>
          <w:i/>
          <w:sz w:val="22"/>
        </w:rPr>
        <w:t>Accrual</w:t>
      </w:r>
      <w:r w:rsidRPr="00C5133C">
        <w:rPr>
          <w:rFonts w:ascii="Cambria" w:hAnsi="Cambria" w:cs="Times New Roman"/>
          <w:sz w:val="22"/>
        </w:rPr>
        <w:t xml:space="preserve"> sebaga</w:t>
      </w:r>
      <w:r w:rsidR="00966599">
        <w:rPr>
          <w:rFonts w:ascii="Cambria" w:hAnsi="Cambria" w:cs="Times New Roman"/>
          <w:sz w:val="22"/>
        </w:rPr>
        <w:t>i</w:t>
      </w:r>
      <w:r w:rsidRPr="00C5133C">
        <w:rPr>
          <w:rFonts w:ascii="Cambria" w:hAnsi="Cambria" w:cs="Times New Roman"/>
          <w:sz w:val="22"/>
        </w:rPr>
        <w:t xml:space="preserve"> ukuran manajemen laba</w:t>
      </w:r>
    </w:p>
    <w:p w14:paraId="780A7C0A" w14:textId="77777777" w:rsidR="00966599" w:rsidRDefault="00966599" w:rsidP="005A547F">
      <w:pPr>
        <w:pStyle w:val="ListParagraph"/>
        <w:numPr>
          <w:ilvl w:val="0"/>
          <w:numId w:val="11"/>
        </w:numPr>
        <w:spacing w:line="276" w:lineRule="auto"/>
        <w:ind w:left="142" w:hanging="142"/>
        <w:rPr>
          <w:rFonts w:ascii="Cambria" w:hAnsi="Cambria" w:cs="Times New Roman"/>
          <w:sz w:val="22"/>
        </w:rPr>
      </w:pPr>
    </w:p>
    <w:p w14:paraId="25E03A35" w14:textId="45458A7D" w:rsidR="005A547F" w:rsidRPr="00966599" w:rsidRDefault="00A612E6" w:rsidP="005A547F">
      <w:pPr>
        <w:pStyle w:val="ListParagraph"/>
        <w:spacing w:line="276" w:lineRule="auto"/>
        <w:ind w:left="142" w:firstLine="0"/>
        <w:rPr>
          <w:rFonts w:ascii="Cambria" w:eastAsiaTheme="minorEastAsia" w:hAnsi="Cambria" w:cs="Times New Roman"/>
          <w:b/>
          <w:sz w:val="22"/>
        </w:rPr>
      </w:pPr>
      <m:oMathPara>
        <m:oMath>
          <m:sSub>
            <m:sSubPr>
              <m:ctrlPr>
                <w:rPr>
                  <w:rFonts w:ascii="Cambria Math" w:hAnsi="Cambria Math" w:cs="Times New Roman"/>
                  <w:b/>
                  <w:i/>
                  <w:sz w:val="22"/>
                </w:rPr>
              </m:ctrlPr>
            </m:sSubPr>
            <m:e>
              <m:r>
                <m:rPr>
                  <m:sty m:val="bi"/>
                </m:rPr>
                <w:rPr>
                  <w:rFonts w:ascii="Cambria Math" w:hAnsi="Cambria Math" w:cs="Times New Roman"/>
                  <w:sz w:val="22"/>
                </w:rPr>
                <m:t>DA</m:t>
              </m:r>
            </m:e>
            <m:sub>
              <m:r>
                <m:rPr>
                  <m:sty m:val="bi"/>
                </m:rPr>
                <w:rPr>
                  <w:rFonts w:ascii="Cambria Math" w:hAnsi="Cambria Math" w:cs="Times New Roman"/>
                  <w:sz w:val="22"/>
                </w:rPr>
                <m:t>it</m:t>
              </m:r>
            </m:sub>
          </m:sSub>
          <m:r>
            <m:rPr>
              <m:sty m:val="bi"/>
            </m:rPr>
            <w:rPr>
              <w:rFonts w:ascii="Cambria Math" w:hAnsi="Cambria Math" w:cs="Times New Roman"/>
              <w:sz w:val="22"/>
            </w:rPr>
            <m:t>=</m:t>
          </m:r>
          <m:f>
            <m:fPr>
              <m:ctrlPr>
                <w:rPr>
                  <w:rFonts w:ascii="Cambria Math" w:hAnsi="Cambria Math" w:cs="Times New Roman"/>
                  <w:b/>
                  <w:i/>
                  <w:sz w:val="22"/>
                </w:rPr>
              </m:ctrlPr>
            </m:fPr>
            <m:num>
              <m:sSub>
                <m:sSubPr>
                  <m:ctrlPr>
                    <w:rPr>
                      <w:rFonts w:ascii="Cambria Math" w:hAnsi="Cambria Math" w:cs="Times New Roman"/>
                      <w:b/>
                      <w:i/>
                      <w:sz w:val="22"/>
                    </w:rPr>
                  </m:ctrlPr>
                </m:sSubPr>
                <m:e>
                  <m:r>
                    <m:rPr>
                      <m:sty m:val="bi"/>
                    </m:rPr>
                    <w:rPr>
                      <w:rFonts w:ascii="Cambria Math" w:hAnsi="Cambria Math" w:cs="Times New Roman"/>
                      <w:sz w:val="22"/>
                    </w:rPr>
                    <m:t>TA</m:t>
                  </m:r>
                </m:e>
                <m:sub>
                  <m:r>
                    <m:rPr>
                      <m:sty m:val="bi"/>
                    </m:rPr>
                    <w:rPr>
                      <w:rFonts w:ascii="Cambria Math" w:hAnsi="Cambria Math" w:cs="Times New Roman"/>
                      <w:sz w:val="22"/>
                    </w:rPr>
                    <m:t>it</m:t>
                  </m:r>
                </m:sub>
              </m:sSub>
            </m:num>
            <m:den>
              <m:sSub>
                <m:sSubPr>
                  <m:ctrlPr>
                    <w:rPr>
                      <w:rFonts w:ascii="Cambria Math" w:hAnsi="Cambria Math" w:cs="Times New Roman"/>
                      <w:b/>
                      <w:i/>
                      <w:sz w:val="22"/>
                    </w:rPr>
                  </m:ctrlPr>
                </m:sSubPr>
                <m:e>
                  <m:r>
                    <m:rPr>
                      <m:sty m:val="bi"/>
                    </m:rPr>
                    <w:rPr>
                      <w:rFonts w:ascii="Cambria Math" w:hAnsi="Cambria Math" w:cs="Times New Roman"/>
                      <w:sz w:val="22"/>
                    </w:rPr>
                    <m:t>A</m:t>
                  </m:r>
                </m:e>
                <m:sub>
                  <m:r>
                    <m:rPr>
                      <m:sty m:val="bi"/>
                    </m:rPr>
                    <w:rPr>
                      <w:rFonts w:ascii="Cambria Math" w:hAnsi="Cambria Math" w:cs="Times New Roman"/>
                      <w:sz w:val="22"/>
                    </w:rPr>
                    <m:t>it-1</m:t>
                  </m:r>
                </m:sub>
              </m:sSub>
            </m:den>
          </m:f>
          <m:r>
            <m:rPr>
              <m:sty m:val="bi"/>
            </m:rPr>
            <w:rPr>
              <w:rFonts w:ascii="Cambria Math" w:hAnsi="Cambria Math" w:cs="Times New Roman"/>
              <w:sz w:val="22"/>
            </w:rPr>
            <m:t xml:space="preserve">- </m:t>
          </m:r>
          <m:sSub>
            <m:sSubPr>
              <m:ctrlPr>
                <w:rPr>
                  <w:rFonts w:ascii="Cambria Math" w:hAnsi="Cambria Math" w:cs="Times New Roman"/>
                  <w:b/>
                  <w:i/>
                  <w:sz w:val="22"/>
                </w:rPr>
              </m:ctrlPr>
            </m:sSubPr>
            <m:e>
              <m:r>
                <m:rPr>
                  <m:sty m:val="bi"/>
                </m:rPr>
                <w:rPr>
                  <w:rFonts w:ascii="Cambria Math" w:hAnsi="Cambria Math" w:cs="Times New Roman"/>
                  <w:sz w:val="22"/>
                </w:rPr>
                <m:t>NDA</m:t>
              </m:r>
            </m:e>
            <m:sub>
              <m:r>
                <m:rPr>
                  <m:sty m:val="bi"/>
                </m:rPr>
                <w:rPr>
                  <w:rFonts w:ascii="Cambria Math" w:hAnsi="Cambria Math" w:cs="Times New Roman"/>
                  <w:sz w:val="22"/>
                </w:rPr>
                <m:t>it</m:t>
              </m:r>
            </m:sub>
          </m:sSub>
        </m:oMath>
      </m:oMathPara>
    </w:p>
    <w:p w14:paraId="17DEA4D2" w14:textId="77777777" w:rsidR="00966599" w:rsidRPr="00C5133C" w:rsidRDefault="00966599" w:rsidP="005A547F">
      <w:pPr>
        <w:pStyle w:val="ListParagraph"/>
        <w:spacing w:line="276" w:lineRule="auto"/>
        <w:ind w:left="142" w:firstLine="0"/>
        <w:rPr>
          <w:rFonts w:ascii="Cambria" w:hAnsi="Cambria" w:cs="Times New Roman"/>
          <w:sz w:val="22"/>
        </w:rPr>
      </w:pPr>
    </w:p>
    <w:p w14:paraId="124B815A" w14:textId="0722C703" w:rsidR="006D2571" w:rsidRPr="00C5133C" w:rsidRDefault="006D2571" w:rsidP="00C5133C">
      <w:pPr>
        <w:spacing w:line="276" w:lineRule="auto"/>
        <w:rPr>
          <w:rFonts w:ascii="Cambria" w:hAnsi="Cambria" w:cs="Times New Roman"/>
          <w:sz w:val="22"/>
        </w:rPr>
      </w:pPr>
      <w:r w:rsidRPr="00C5133C">
        <w:rPr>
          <w:rFonts w:ascii="Cambria" w:hAnsi="Cambria" w:cs="Times New Roman"/>
          <w:sz w:val="22"/>
        </w:rPr>
        <w:t>Variabel</w:t>
      </w:r>
      <w:r w:rsidR="00966599">
        <w:rPr>
          <w:rFonts w:ascii="Cambria" w:hAnsi="Cambria" w:cs="Times New Roman"/>
          <w:sz w:val="22"/>
        </w:rPr>
        <w:t xml:space="preserve"> i</w:t>
      </w:r>
      <w:r w:rsidRPr="00C5133C">
        <w:rPr>
          <w:rFonts w:ascii="Cambria" w:hAnsi="Cambria" w:cs="Times New Roman"/>
          <w:sz w:val="22"/>
        </w:rPr>
        <w:t xml:space="preserve">ndependen kedua yang </w:t>
      </w:r>
      <w:r w:rsidRPr="00C5133C">
        <w:rPr>
          <w:rFonts w:ascii="Cambria" w:hAnsi="Cambria" w:cs="Times New Roman"/>
          <w:sz w:val="22"/>
          <w:lang w:val="en-US"/>
        </w:rPr>
        <w:t xml:space="preserve">dipilih untuk </w:t>
      </w:r>
      <w:r w:rsidRPr="00C5133C">
        <w:rPr>
          <w:rFonts w:ascii="Cambria" w:hAnsi="Cambria" w:cs="Times New Roman"/>
          <w:sz w:val="22"/>
        </w:rPr>
        <w:t>digunakan dalam penelitian adalah manajemen laba melalui aktivitas</w:t>
      </w:r>
      <w:r w:rsidRPr="00C5133C">
        <w:rPr>
          <w:rFonts w:ascii="Cambria" w:hAnsi="Cambria" w:cs="Times New Roman"/>
          <w:sz w:val="22"/>
          <w:lang w:val="en-US"/>
        </w:rPr>
        <w:t xml:space="preserve"> </w:t>
      </w:r>
      <w:r w:rsidRPr="00C5133C">
        <w:rPr>
          <w:rFonts w:ascii="Cambria" w:hAnsi="Cambria" w:cs="Times New Roman"/>
          <w:i/>
          <w:sz w:val="22"/>
        </w:rPr>
        <w:t>real</w:t>
      </w:r>
      <w:r w:rsidRPr="00C5133C">
        <w:rPr>
          <w:rFonts w:ascii="Cambria" w:hAnsi="Cambria" w:cs="Times New Roman"/>
          <w:sz w:val="22"/>
        </w:rPr>
        <w:t xml:space="preserve">. Manajemen laba </w:t>
      </w:r>
      <w:r w:rsidRPr="00C5133C">
        <w:rPr>
          <w:rFonts w:ascii="Cambria" w:hAnsi="Cambria" w:cs="Times New Roman"/>
          <w:sz w:val="22"/>
          <w:lang w:val="en-US"/>
        </w:rPr>
        <w:t xml:space="preserve">melalui aktivitas </w:t>
      </w:r>
      <w:r w:rsidRPr="00C5133C">
        <w:rPr>
          <w:rFonts w:ascii="Cambria" w:hAnsi="Cambria" w:cs="Times New Roman"/>
          <w:i/>
          <w:sz w:val="22"/>
          <w:lang w:val="en-US"/>
        </w:rPr>
        <w:t>real</w:t>
      </w:r>
      <w:r w:rsidRPr="00C5133C">
        <w:rPr>
          <w:rFonts w:ascii="Cambria" w:hAnsi="Cambria" w:cs="Times New Roman"/>
          <w:sz w:val="22"/>
        </w:rPr>
        <w:t xml:space="preserve"> dalam penelitian ini diukur </w:t>
      </w:r>
      <w:r w:rsidRPr="00C5133C">
        <w:rPr>
          <w:rFonts w:ascii="Cambria" w:hAnsi="Cambria" w:cs="Times New Roman"/>
          <w:sz w:val="22"/>
          <w:lang w:val="en-US"/>
        </w:rPr>
        <w:t xml:space="preserve">dengan </w:t>
      </w:r>
      <w:r w:rsidRPr="00C5133C">
        <w:rPr>
          <w:rFonts w:ascii="Cambria" w:hAnsi="Cambria" w:cs="Times New Roman"/>
          <w:sz w:val="22"/>
        </w:rPr>
        <w:t>menggunakan</w:t>
      </w:r>
      <w:r w:rsidRPr="00C5133C">
        <w:rPr>
          <w:rFonts w:ascii="Cambria" w:hAnsi="Cambria" w:cs="Times New Roman"/>
          <w:sz w:val="22"/>
          <w:lang w:val="en-US"/>
        </w:rPr>
        <w:t xml:space="preserve"> </w:t>
      </w:r>
      <w:r w:rsidRPr="00C5133C">
        <w:rPr>
          <w:rFonts w:ascii="Cambria" w:hAnsi="Cambria" w:cs="Times New Roman"/>
          <w:sz w:val="22"/>
        </w:rPr>
        <w:t xml:space="preserve">formula yang mereplikasi dari </w:t>
      </w:r>
      <w:r w:rsidRPr="00C5133C">
        <w:rPr>
          <w:rFonts w:ascii="Cambria" w:hAnsi="Cambria" w:cs="Times New Roman"/>
          <w:sz w:val="22"/>
        </w:rPr>
        <w:fldChar w:fldCharType="begin" w:fldLock="1"/>
      </w:r>
      <w:r w:rsidRPr="00C5133C">
        <w:rPr>
          <w:rFonts w:ascii="Cambria" w:hAnsi="Cambria" w:cs="Times New Roman"/>
          <w:sz w:val="22"/>
        </w:rPr>
        <w:instrText>ADDIN CSL_CITATION {"citationItems":[{"id":"ITEM-1","itemData":{"DOI":"10.1016/j.jacceco.2006.01.002","ISSN":"01654101","abstract":"I find evidence consistent with managers manipulating real activities to avoid reporting annual losses. Specifically, I find evidence suggesting price discounts to temporarily increase sales, overproduction to report lower cost of goods sold, and reduction of discretionary expenditures to improve reported margins. Cross-sectional analysis reveals that these activities are less prevalent in the presence of sophisticated investors. Other factors that influence real activities manipulation include industry membership, the stock of inventories and receivables, and incentives to meet zero earnings. There is also some, though less robust, evidence of real activities manipulation to meet annual analyst forecasts. © 2006 Elsevier B.V. All rights reserved.","author":[{"dropping-particle":"","family":"Roychowdhury","given":"Sugata","non-dropping-particle":"","parse-names":false,"suffix":""}],"container-title":"Journal of Accounting and Economics","id":"ITEM-1","issue":"3","issued":{"date-parts":[["2006"]]},"page":"335-370","title":"Earnings management through real activities manipulation","type":"article-journal","volume":"42"},"uris":["http://www.mendeley.com/documents/?uuid=a3233d57-5ab2-479d-b7a5-ed72c578c6de"]}],"mendeley":{"formattedCitation":"(Roychowdhury, 2006)","plainTextFormattedCitation":"(Roychowdhury, 2006)","previouslyFormattedCitation":"(Roychowdhury, 2006)"},"properties":{"noteIndex":0},"schema":"https://github.com/citation-style-language/schema/raw/master/csl-citation.json"}</w:instrText>
      </w:r>
      <w:r w:rsidRPr="00C5133C">
        <w:rPr>
          <w:rFonts w:ascii="Cambria" w:hAnsi="Cambria" w:cs="Times New Roman"/>
          <w:sz w:val="22"/>
        </w:rPr>
        <w:fldChar w:fldCharType="separate"/>
      </w:r>
      <w:r w:rsidRPr="00C5133C">
        <w:rPr>
          <w:rFonts w:ascii="Cambria" w:hAnsi="Cambria" w:cs="Times New Roman"/>
          <w:noProof/>
          <w:sz w:val="22"/>
        </w:rPr>
        <w:t>(Roychowdhury, 2006)</w:t>
      </w:r>
      <w:r w:rsidRPr="00C5133C">
        <w:rPr>
          <w:rFonts w:ascii="Cambria" w:hAnsi="Cambria" w:cs="Times New Roman"/>
          <w:sz w:val="22"/>
        </w:rPr>
        <w:fldChar w:fldCharType="end"/>
      </w:r>
      <w:r w:rsidRPr="00C5133C">
        <w:rPr>
          <w:rFonts w:ascii="Cambria" w:hAnsi="Cambria" w:cs="Times New Roman"/>
          <w:sz w:val="22"/>
          <w:lang w:val="en-US"/>
        </w:rPr>
        <w:t xml:space="preserve">. Manajemen laba melalui aktivitas </w:t>
      </w:r>
      <w:r w:rsidRPr="00C5133C">
        <w:rPr>
          <w:rFonts w:ascii="Cambria" w:hAnsi="Cambria" w:cs="Times New Roman"/>
          <w:i/>
          <w:sz w:val="22"/>
          <w:lang w:val="en-US"/>
        </w:rPr>
        <w:t>real</w:t>
      </w:r>
      <w:r w:rsidRPr="00C5133C">
        <w:rPr>
          <w:rFonts w:ascii="Cambria" w:hAnsi="Cambria" w:cs="Times New Roman"/>
          <w:sz w:val="22"/>
          <w:lang w:val="en-US"/>
        </w:rPr>
        <w:t xml:space="preserve"> diproksikan kedalam tiga aktivitas operasi, yaitu pengelolaan penjualan, produksi berlebih dan biaya diskresioner. Pemilihan proksi ini bertujuan untuk menjaga keutuhan informasi mengenai metode manajemen laba </w:t>
      </w:r>
      <w:r w:rsidRPr="00C5133C">
        <w:rPr>
          <w:rFonts w:ascii="Cambria" w:hAnsi="Cambria" w:cs="Times New Roman"/>
          <w:i/>
          <w:sz w:val="22"/>
          <w:lang w:val="en-US"/>
        </w:rPr>
        <w:t>real</w:t>
      </w:r>
      <w:r w:rsidRPr="00C5133C">
        <w:rPr>
          <w:rFonts w:ascii="Cambria" w:hAnsi="Cambria" w:cs="Times New Roman"/>
          <w:sz w:val="22"/>
          <w:lang w:val="en-US"/>
        </w:rPr>
        <w:t xml:space="preserve"> yang dilakukan oleh perusahaan</w:t>
      </w:r>
      <w:r w:rsidRPr="00C5133C">
        <w:rPr>
          <w:rFonts w:ascii="Cambria" w:hAnsi="Cambria" w:cs="Times New Roman"/>
          <w:sz w:val="22"/>
        </w:rPr>
        <w:t>:</w:t>
      </w:r>
    </w:p>
    <w:p w14:paraId="75AE06B9" w14:textId="77777777" w:rsidR="006D2571" w:rsidRPr="00C5133C" w:rsidRDefault="006D2571" w:rsidP="00966599">
      <w:pPr>
        <w:spacing w:line="276" w:lineRule="auto"/>
        <w:ind w:left="1440" w:hanging="1440"/>
        <w:jc w:val="center"/>
        <w:rPr>
          <w:rFonts w:ascii="Cambria" w:hAnsi="Cambria" w:cs="Times New Roman"/>
          <w:sz w:val="22"/>
        </w:rPr>
      </w:pPr>
      <w:r w:rsidRPr="00C5133C">
        <w:rPr>
          <w:rFonts w:ascii="Cambria" w:hAnsi="Cambria" w:cs="Times New Roman"/>
          <w:noProof/>
          <w:sz w:val="22"/>
          <w:lang w:val="en-US"/>
        </w:rPr>
        <w:drawing>
          <wp:anchor distT="0" distB="0" distL="114300" distR="114300" simplePos="0" relativeHeight="251658240" behindDoc="0" locked="0" layoutInCell="1" allowOverlap="1" wp14:anchorId="104A2886" wp14:editId="4D92E168">
            <wp:simplePos x="0" y="0"/>
            <wp:positionH relativeFrom="margin">
              <wp:align>center</wp:align>
            </wp:positionH>
            <wp:positionV relativeFrom="paragraph">
              <wp:posOffset>-3810</wp:posOffset>
            </wp:positionV>
            <wp:extent cx="5038725" cy="996950"/>
            <wp:effectExtent l="0" t="0" r="9525" b="0"/>
            <wp:wrapThrough wrapText="bothSides">
              <wp:wrapPolygon edited="0">
                <wp:start x="0" y="0"/>
                <wp:lineTo x="0" y="21050"/>
                <wp:lineTo x="21559" y="21050"/>
                <wp:lineTo x="21559" y="0"/>
                <wp:lineTo x="0" y="0"/>
              </wp:wrapPolygon>
            </wp:wrapThrough>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b="77197"/>
                    <a:stretch/>
                  </pic:blipFill>
                  <pic:spPr bwMode="auto">
                    <a:xfrm>
                      <a:off x="0" y="0"/>
                      <a:ext cx="5038725" cy="996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44EDC8" w14:textId="77777777" w:rsidR="006D2571" w:rsidRPr="00C5133C" w:rsidRDefault="006D2571" w:rsidP="00C5133C">
      <w:pPr>
        <w:tabs>
          <w:tab w:val="left" w:pos="5925"/>
        </w:tabs>
        <w:spacing w:line="276" w:lineRule="auto"/>
        <w:rPr>
          <w:rFonts w:ascii="Cambria" w:hAnsi="Cambria" w:cs="Times New Roman"/>
          <w:sz w:val="22"/>
          <w:lang w:val="en-US"/>
        </w:rPr>
      </w:pPr>
      <w:proofErr w:type="gramStart"/>
      <w:r w:rsidRPr="00C5133C">
        <w:rPr>
          <w:rFonts w:ascii="Cambria" w:hAnsi="Cambria" w:cs="Times New Roman"/>
          <w:sz w:val="22"/>
        </w:rPr>
        <w:t xml:space="preserve">Variabel </w:t>
      </w:r>
      <w:r w:rsidRPr="00C5133C">
        <w:rPr>
          <w:rFonts w:ascii="Cambria" w:hAnsi="Cambria"/>
          <w:sz w:val="22"/>
        </w:rPr>
        <w:t xml:space="preserve"> independen</w:t>
      </w:r>
      <w:proofErr w:type="gramEnd"/>
      <w:r w:rsidRPr="00C5133C">
        <w:rPr>
          <w:rFonts w:ascii="Cambria" w:hAnsi="Cambria" w:cs="Times New Roman"/>
          <w:sz w:val="22"/>
        </w:rPr>
        <w:t xml:space="preserve"> ke</w:t>
      </w:r>
      <w:r w:rsidRPr="00C5133C">
        <w:rPr>
          <w:rFonts w:ascii="Cambria" w:hAnsi="Cambria" w:cs="Times New Roman"/>
          <w:sz w:val="22"/>
          <w:lang w:val="en-US"/>
        </w:rPr>
        <w:t>tiga</w:t>
      </w:r>
      <w:r w:rsidRPr="00C5133C">
        <w:rPr>
          <w:rFonts w:ascii="Cambria" w:hAnsi="Cambria" w:cs="Times New Roman"/>
          <w:sz w:val="22"/>
        </w:rPr>
        <w:t xml:space="preserve"> yang digunakan dalam penelitian ini adalah </w:t>
      </w:r>
      <w:r w:rsidRPr="00C5133C">
        <w:rPr>
          <w:rFonts w:ascii="Cambria" w:hAnsi="Cambria" w:cs="Times New Roman"/>
          <w:i/>
          <w:sz w:val="22"/>
          <w:lang w:val="en-US"/>
        </w:rPr>
        <w:t>Transfer Pricing</w:t>
      </w:r>
      <w:r w:rsidRPr="00C5133C">
        <w:rPr>
          <w:rFonts w:ascii="Cambria" w:hAnsi="Cambria" w:cs="Times New Roman"/>
          <w:sz w:val="22"/>
          <w:lang w:val="en-US"/>
        </w:rPr>
        <w:t xml:space="preserve">. Variabel ini diproksikan dengan variabel </w:t>
      </w:r>
      <w:r w:rsidRPr="00C5133C">
        <w:rPr>
          <w:rFonts w:ascii="Cambria" w:hAnsi="Cambria" w:cs="Times New Roman"/>
          <w:i/>
          <w:sz w:val="22"/>
          <w:lang w:val="en-US"/>
        </w:rPr>
        <w:t>dummy</w:t>
      </w:r>
      <w:r w:rsidRPr="00C5133C">
        <w:rPr>
          <w:rFonts w:ascii="Cambria" w:hAnsi="Cambria" w:cs="Times New Roman"/>
          <w:sz w:val="22"/>
          <w:lang w:val="en-US"/>
        </w:rPr>
        <w:t xml:space="preserve"> seperti yang digunakan pada penelitian </w:t>
      </w:r>
      <w:r w:rsidRPr="00C5133C">
        <w:rPr>
          <w:rFonts w:ascii="Cambria" w:hAnsi="Cambria" w:cs="Times New Roman"/>
          <w:sz w:val="22"/>
          <w:lang w:val="en-US"/>
        </w:rPr>
        <w:fldChar w:fldCharType="begin" w:fldLock="1"/>
      </w:r>
      <w:r w:rsidRPr="00C5133C">
        <w:rPr>
          <w:rFonts w:ascii="Cambria" w:hAnsi="Cambria" w:cs="Times New Roman"/>
          <w:sz w:val="22"/>
          <w:lang w:val="en-US"/>
        </w:rPr>
        <w:instrText>ADDIN CSL_CITATION {"citationItems":[{"id":"ITEM-1","itemData":{"author":[{"dropping-particle":"","family":"Rasyid","given":"Achmad Sofyan","non-dropping-particle":"","parse-names":false,"suffix":""},{"dropping-particle":"","family":"Sumbiharsih","given":"Diah","non-dropping-particle":"","parse-names":false,"suffix":""},{"dropping-particle":"","family":"Bella","given":"Manggala","non-dropping-particle":"","parse-names":false,"suffix":""},{"dropping-particle":"","family":"Utama","given":"Adi","non-dropping-particle":"","parse-names":false,"suffix":""},{"dropping-particle":"","family":"Studi","given":"Program","non-dropping-particle":"","parse-names":false,"suffix":""},{"dropping-particle":"","family":"Manajemen","given":"Magister","non-dropping-particle":"","parse-names":false,"suffix":""},{"dropping-particle":"","family":"Pamulang","given":"Universitas","non-dropping-particle":"","parse-names":false,"suffix":""}],"id":"ITEM-1","issue":"2","issued":{"date-parts":[["2021"]]},"page":"1-10","title":"Humanis2021","type":"article-journal","volume":"1"},"uris":["http://www.mendeley.com/documents/?uuid=99694221-3ed2-4959-914f-7367b02048be"]}],"mendeley":{"formattedCitation":"(Rasyid et al., 2021)","plainTextFormattedCitation":"(Rasyid et al., 2021)","previouslyFormattedCitation":"(Rasyid et al., 2021)"},"properties":{"noteIndex":0},"schema":"https://github.com/citation-style-language/schema/raw/master/csl-citation.json"}</w:instrText>
      </w:r>
      <w:r w:rsidRPr="00C5133C">
        <w:rPr>
          <w:rFonts w:ascii="Cambria" w:hAnsi="Cambria" w:cs="Times New Roman"/>
          <w:sz w:val="22"/>
          <w:lang w:val="en-US"/>
        </w:rPr>
        <w:fldChar w:fldCharType="separate"/>
      </w:r>
      <w:r w:rsidRPr="00C5133C">
        <w:rPr>
          <w:rFonts w:ascii="Cambria" w:hAnsi="Cambria" w:cs="Times New Roman"/>
          <w:noProof/>
          <w:sz w:val="22"/>
          <w:lang w:val="en-US"/>
        </w:rPr>
        <w:t xml:space="preserve">(Rasyid </w:t>
      </w:r>
      <w:r w:rsidRPr="00C5133C">
        <w:rPr>
          <w:rFonts w:ascii="Cambria" w:hAnsi="Cambria" w:cs="Times New Roman"/>
          <w:i/>
          <w:noProof/>
          <w:sz w:val="22"/>
          <w:lang w:val="en-US"/>
        </w:rPr>
        <w:t>et al.</w:t>
      </w:r>
      <w:r w:rsidRPr="00C5133C">
        <w:rPr>
          <w:rFonts w:ascii="Cambria" w:hAnsi="Cambria" w:cs="Times New Roman"/>
          <w:noProof/>
          <w:sz w:val="22"/>
          <w:lang w:val="en-US"/>
        </w:rPr>
        <w:t>, 2021)</w:t>
      </w:r>
      <w:r w:rsidRPr="00C5133C">
        <w:rPr>
          <w:rFonts w:ascii="Cambria" w:hAnsi="Cambria" w:cs="Times New Roman"/>
          <w:sz w:val="22"/>
          <w:lang w:val="en-US"/>
        </w:rPr>
        <w:fldChar w:fldCharType="end"/>
      </w:r>
      <w:r w:rsidRPr="00C5133C">
        <w:rPr>
          <w:rFonts w:ascii="Cambria" w:hAnsi="Cambria" w:cs="Times New Roman"/>
          <w:sz w:val="22"/>
          <w:lang w:val="en-US"/>
        </w:rPr>
        <w:t xml:space="preserve"> dengan melihat keberadaan transaksi penjualan kepada pihak berelasi yang berkedudukan di negara dengan tarif pajak korporasi yang lebih rendah dibandingkan dengan tarif pajak yang berlaku di Indonesia. Perusahaan yang memiliki transaksi dengan pihak berelasi yang berkedudukan di negara dengan tarif pajak lebih rendah diberi nilai 1, dan yang tidak diberi </w:t>
      </w:r>
      <w:r w:rsidRPr="00C5133C">
        <w:rPr>
          <w:rFonts w:ascii="Cambria" w:hAnsi="Cambria" w:cs="Times New Roman"/>
          <w:sz w:val="22"/>
          <w:lang w:val="en-US"/>
        </w:rPr>
        <w:lastRenderedPageBreak/>
        <w:t xml:space="preserve">nilai 0. Pemilihan proksi ini bertujuan untuk memisahkan perusahaan yang memiliki potensi untuk melakukan praktik </w:t>
      </w:r>
      <w:r w:rsidRPr="00C5133C">
        <w:rPr>
          <w:rFonts w:ascii="Cambria" w:hAnsi="Cambria" w:cs="Times New Roman"/>
          <w:i/>
          <w:iCs/>
          <w:sz w:val="22"/>
          <w:lang w:val="en-US"/>
        </w:rPr>
        <w:t>transfer pricing</w:t>
      </w:r>
      <w:r w:rsidRPr="00C5133C">
        <w:rPr>
          <w:rFonts w:ascii="Cambria" w:hAnsi="Cambria" w:cs="Times New Roman"/>
          <w:sz w:val="22"/>
          <w:lang w:val="en-US"/>
        </w:rPr>
        <w:t xml:space="preserve"> dengan perusahaan yang tidak. </w:t>
      </w:r>
    </w:p>
    <w:p w14:paraId="6C7EEC05" w14:textId="6833374A" w:rsidR="006D2571" w:rsidRDefault="006D2571" w:rsidP="00C5133C">
      <w:pPr>
        <w:spacing w:line="276" w:lineRule="auto"/>
        <w:rPr>
          <w:rFonts w:ascii="Cambria" w:hAnsi="Cambria" w:cs="Times New Roman"/>
          <w:sz w:val="22"/>
        </w:rPr>
      </w:pPr>
      <w:r w:rsidRPr="00C5133C">
        <w:rPr>
          <w:rFonts w:ascii="Cambria" w:hAnsi="Cambria" w:cs="Times New Roman"/>
          <w:sz w:val="22"/>
        </w:rPr>
        <w:t>Ukuran perusahaan dapat diukur dari besar kecilnya ekuitas, penjualan, serta total aktiva</w:t>
      </w:r>
      <w:r w:rsidRPr="00C5133C">
        <w:rPr>
          <w:rFonts w:ascii="Cambria" w:hAnsi="Cambria" w:cs="Times New Roman"/>
          <w:sz w:val="22"/>
          <w:lang w:val="en-US"/>
        </w:rPr>
        <w:t xml:space="preserve"> </w:t>
      </w:r>
      <w:r w:rsidRPr="00C5133C">
        <w:rPr>
          <w:rFonts w:ascii="Cambria" w:hAnsi="Cambria" w:cs="Times New Roman"/>
          <w:sz w:val="22"/>
          <w:lang w:val="en-US"/>
        </w:rPr>
        <w:fldChar w:fldCharType="begin" w:fldLock="1"/>
      </w:r>
      <w:r w:rsidRPr="00C5133C">
        <w:rPr>
          <w:rFonts w:ascii="Cambria" w:hAnsi="Cambria" w:cs="Times New Roman"/>
          <w:sz w:val="22"/>
          <w:lang w:val="en-US"/>
        </w:rPr>
        <w:instrText>ADDIN CSL_CITATION {"citationItems":[{"id":"ITEM-1","itemData":{"ISSN":"2302-8912","abstract":"Penelitian ini memiliki tujuan untuk menjelaskan signifikansi pengaruh leverage, ukuran perusahaan, pertumbuhan perusahaan, dan profitabilitas secara parsial terhadap nilai perusahaan properti yang terdaftar di BEI. Penelitian ini mengambil sampel 41 perusahaan selama periode penelitian yaitu tahun 2013-2015 menggunakan motode purposive sampling dengan kriteria perusahaan yang terdaftar secara kontinu dan perusahaan yang terdaftar penuh. Sumber data yang digunakan dalam penelitian ini yaitu data sekunder. Regresi linier berganda adalah teknik analisis data yang digunakan dalam penelitian ini. Setelah dilakukan pengujian maka diperoleh hasil leverage, pertumbuhan perusahaan, dan profitabilitas secara parsial berpengaruh signifikan terhadap nilai perusahaan, dimana variabel yang memiliki hubungan positif yaitu leverage dan profitabilitas, sedangkan variabel pertumbuhan perusahaan mempunyai hubungan yang negatif, namun ukuran perusahaan terhadap nilai perusahaan tidak berpengaruh signifikan","author":[{"dropping-particle":"","family":"Mustanda","given":"I Ketut","non-dropping-particle":"","parse-names":false,"suffix":""},{"dropping-particle":"","family":"Suwardika","given":"I Nyoman Agus","non-dropping-particle":"","parse-names":false,"suffix":""}],"container-title":"None","id":"ITEM-1","issue":"3","issued":{"date-parts":[["2017"]]},"page":"254488","title":"Pengaruh Leverage, Ukuran Perusahaan, Pertumbuhan Perusahaan, Dan Profitabilitas Terhadap Nilai Perusahaan Pada Perusahaan Properti","type":"article-journal","volume":"6"},"uris":["http://www.mendeley.com/documents/?uuid=ed3eff88-e372-4357-a104-a4e9bccb5fd6"]}],"mendeley":{"formattedCitation":"(Mustanda &amp; Suwardika, 2017)","plainTextFormattedCitation":"(Mustanda &amp; Suwardika, 2017)","previouslyFormattedCitation":"(Mustanda &amp; Suwardika, 2017)"},"properties":{"noteIndex":0},"schema":"https://github.com/citation-style-language/schema/raw/master/csl-citation.json"}</w:instrText>
      </w:r>
      <w:r w:rsidRPr="00C5133C">
        <w:rPr>
          <w:rFonts w:ascii="Cambria" w:hAnsi="Cambria" w:cs="Times New Roman"/>
          <w:sz w:val="22"/>
          <w:lang w:val="en-US"/>
        </w:rPr>
        <w:fldChar w:fldCharType="separate"/>
      </w:r>
      <w:r w:rsidRPr="00C5133C">
        <w:rPr>
          <w:rFonts w:ascii="Cambria" w:hAnsi="Cambria" w:cs="Times New Roman"/>
          <w:noProof/>
          <w:sz w:val="22"/>
          <w:lang w:val="en-US"/>
        </w:rPr>
        <w:t>(Mustanda &amp; Suwardika, 2017)</w:t>
      </w:r>
      <w:r w:rsidRPr="00C5133C">
        <w:rPr>
          <w:rFonts w:ascii="Cambria" w:hAnsi="Cambria" w:cs="Times New Roman"/>
          <w:sz w:val="22"/>
          <w:lang w:val="en-US"/>
        </w:rPr>
        <w:fldChar w:fldCharType="end"/>
      </w:r>
      <w:r w:rsidRPr="00C5133C">
        <w:rPr>
          <w:rFonts w:ascii="Cambria" w:hAnsi="Cambria" w:cs="Times New Roman"/>
          <w:sz w:val="22"/>
          <w:lang w:val="en-US"/>
        </w:rPr>
        <w:t xml:space="preserve">. </w:t>
      </w:r>
      <w:r w:rsidRPr="00C5133C">
        <w:rPr>
          <w:rFonts w:ascii="Cambria" w:hAnsi="Cambria" w:cs="Times New Roman"/>
          <w:sz w:val="22"/>
        </w:rPr>
        <w:t xml:space="preserve">Ukuran perusahaan akan berpengaruh pada kemampuan perusahaan dalam menanggung risiko yang dihadapi. </w:t>
      </w:r>
      <w:r w:rsidRPr="00C5133C">
        <w:rPr>
          <w:rFonts w:ascii="Cambria" w:hAnsi="Cambria" w:cs="Times New Roman"/>
          <w:sz w:val="22"/>
          <w:lang w:val="en-US"/>
        </w:rPr>
        <w:t>Ukuran perusahaan yang lebih</w:t>
      </w:r>
      <w:r w:rsidRPr="00C5133C">
        <w:rPr>
          <w:rFonts w:ascii="Cambria" w:hAnsi="Cambria" w:cs="Times New Roman"/>
          <w:sz w:val="22"/>
        </w:rPr>
        <w:t xml:space="preserve"> besar akan semakin </w:t>
      </w:r>
      <w:r w:rsidRPr="00C5133C">
        <w:rPr>
          <w:rFonts w:ascii="Cambria" w:hAnsi="Cambria" w:cs="Times New Roman"/>
          <w:sz w:val="22"/>
          <w:lang w:val="en-US"/>
        </w:rPr>
        <w:t>memperkecil</w:t>
      </w:r>
      <w:r w:rsidRPr="00C5133C">
        <w:rPr>
          <w:rFonts w:ascii="Cambria" w:hAnsi="Cambria" w:cs="Times New Roman"/>
          <w:sz w:val="22"/>
        </w:rPr>
        <w:t xml:space="preserve"> risiko yang dihadapi, karena</w:t>
      </w:r>
      <w:r w:rsidRPr="00C5133C">
        <w:rPr>
          <w:rFonts w:ascii="Cambria" w:hAnsi="Cambria" w:cs="Times New Roman"/>
          <w:sz w:val="22"/>
          <w:lang w:val="en-US"/>
        </w:rPr>
        <w:t xml:space="preserve"> perusahaan yang lebih besar</w:t>
      </w:r>
      <w:r w:rsidRPr="00C5133C">
        <w:rPr>
          <w:rFonts w:ascii="Cambria" w:hAnsi="Cambria" w:cs="Times New Roman"/>
          <w:sz w:val="22"/>
        </w:rPr>
        <w:t xml:space="preserve"> dianggap memiliki </w:t>
      </w:r>
      <w:r w:rsidR="00966599">
        <w:rPr>
          <w:rFonts w:ascii="Cambria" w:hAnsi="Cambria" w:cs="Times New Roman"/>
          <w:sz w:val="22"/>
        </w:rPr>
        <w:t>pertahanan</w:t>
      </w:r>
      <w:r w:rsidRPr="00C5133C">
        <w:rPr>
          <w:rFonts w:ascii="Cambria" w:hAnsi="Cambria" w:cs="Times New Roman"/>
          <w:sz w:val="22"/>
          <w:lang w:val="en-US"/>
        </w:rPr>
        <w:t xml:space="preserve"> yang lebih baik terhadap kondisi pasar </w:t>
      </w:r>
      <w:r w:rsidRPr="00C5133C">
        <w:rPr>
          <w:rFonts w:ascii="Cambria" w:hAnsi="Cambria" w:cs="Times New Roman"/>
          <w:sz w:val="22"/>
          <w:lang w:val="en-US"/>
        </w:rPr>
        <w:fldChar w:fldCharType="begin" w:fldLock="1"/>
      </w:r>
      <w:r w:rsidRPr="00C5133C">
        <w:rPr>
          <w:rFonts w:ascii="Cambria" w:hAnsi="Cambria" w:cs="Times New Roman"/>
          <w:sz w:val="22"/>
          <w:lang w:val="en-US"/>
        </w:rPr>
        <w:instrText>ADDIN CSL_CITATION {"citationItems":[{"id":"ITEM-1","itemData":{"ISBN":"1960031419860","author":[{"dropping-particle":"","family":"Yunita","given":"Indah","non-dropping-particle":"","parse-names":false,"suffix":""}],"container-title":"Tesis","id":"ITEM-1","issue":"Semarang: Universitas Diponegoro.","issued":{"date-parts":[["2011"]]},"title":"Analisis Pengaruh Profitabilitas, Kebijakan Utang, Kebijakan Dividen, Size, dan Mekanisme Good Corporate Governance Terhadap Nilai Perusahaan (Studi Kasus Pada Perusahaan Manufaktur yang Terdaftar Di Bursa Efek Indonesia Periode 2005-2010).","type":"book"},"uris":["http://www.mendeley.com/documents/?uuid=22eeb320-411f-48ae-ae4e-01814457e5fd"]}],"mendeley":{"formattedCitation":"(Yunita, 2011)","plainTextFormattedCitation":"(Yunita, 2011)","previouslyFormattedCitation":"(Yunita, 2011)"},"properties":{"noteIndex":0},"schema":"https://github.com/citation-style-language/schema/raw/master/csl-citation.json"}</w:instrText>
      </w:r>
      <w:r w:rsidRPr="00C5133C">
        <w:rPr>
          <w:rFonts w:ascii="Cambria" w:hAnsi="Cambria" w:cs="Times New Roman"/>
          <w:sz w:val="22"/>
          <w:lang w:val="en-US"/>
        </w:rPr>
        <w:fldChar w:fldCharType="separate"/>
      </w:r>
      <w:r w:rsidRPr="00C5133C">
        <w:rPr>
          <w:rFonts w:ascii="Cambria" w:hAnsi="Cambria" w:cs="Times New Roman"/>
          <w:noProof/>
          <w:sz w:val="22"/>
          <w:lang w:val="en-US"/>
        </w:rPr>
        <w:t>(Yunita, 2011)</w:t>
      </w:r>
      <w:r w:rsidRPr="00C5133C">
        <w:rPr>
          <w:rFonts w:ascii="Cambria" w:hAnsi="Cambria" w:cs="Times New Roman"/>
          <w:sz w:val="22"/>
          <w:lang w:val="en-US"/>
        </w:rPr>
        <w:fldChar w:fldCharType="end"/>
      </w:r>
      <w:r w:rsidRPr="00C5133C">
        <w:rPr>
          <w:rFonts w:ascii="Cambria" w:hAnsi="Cambria" w:cs="Times New Roman"/>
          <w:sz w:val="22"/>
          <w:lang w:val="en-US"/>
        </w:rPr>
        <w:t>. Perusahaan besar cenderung untuk menghasilkan laba yang lebih besar apabila dibandingkan dengan perusahaan yang ukurannya lebih kecil.</w:t>
      </w:r>
      <w:r w:rsidRPr="00C5133C">
        <w:rPr>
          <w:rFonts w:ascii="Cambria" w:hAnsi="Cambria" w:cs="Arial"/>
          <w:color w:val="202124"/>
          <w:sz w:val="22"/>
          <w:shd w:val="clear" w:color="auto" w:fill="FFFFFF"/>
          <w:lang w:val="en-US"/>
        </w:rPr>
        <w:t xml:space="preserve"> </w:t>
      </w:r>
      <w:r w:rsidRPr="00C5133C">
        <w:rPr>
          <w:rFonts w:ascii="Cambria" w:hAnsi="Cambria" w:cs="Times New Roman"/>
          <w:sz w:val="22"/>
          <w:lang w:val="en-US"/>
        </w:rPr>
        <w:t>Ukuran perusahaan yang semakin besar</w:t>
      </w:r>
      <w:r w:rsidRPr="00C5133C">
        <w:rPr>
          <w:rFonts w:ascii="Cambria" w:hAnsi="Cambria" w:cs="Times New Roman"/>
          <w:sz w:val="22"/>
        </w:rPr>
        <w:t xml:space="preserve"> akan semakin meningkatkan kemungkinan perusahaan untuk melakukan penghindaran pajak </w:t>
      </w:r>
      <w:r w:rsidRPr="00C5133C">
        <w:rPr>
          <w:rFonts w:ascii="Cambria" w:hAnsi="Cambria" w:cs="Times New Roman"/>
          <w:sz w:val="22"/>
          <w:lang w:val="en-US"/>
        </w:rPr>
        <w:fldChar w:fldCharType="begin" w:fldLock="1"/>
      </w:r>
      <w:r w:rsidRPr="00C5133C">
        <w:rPr>
          <w:rFonts w:ascii="Cambria" w:hAnsi="Cambria" w:cs="Times New Roman"/>
          <w:sz w:val="22"/>
          <w:lang w:val="en-US"/>
        </w:rPr>
        <w:instrText>ADDIN CSL_CITATION {"citationItems":[{"id":"ITEM-1","itemData":{"abstract":"This study examines and analyze the effect of firm size, capital structure (leverage), profitabilty, fixed asset intensity, inventory intensity and tax incentive to tax management using effective tax rates as a indicator.     The sample of this study were 73 companies listed in Indonesian Stock exchange for years 2011-2012.     Analysis tool used multiple linear regression with t test, F test, and test the coefficient of determination.     The result show that there are negative effect of fixed asset intensity and inventory intensity on tax management. Another result show that there are positive effect of firm size on tax management. Capital structure (leverage), profitability and tax incentive were not shown to affect tax management.  ","author":[{"dropping-particle":"","family":"Hakim Darmadi","given":"Iqbal Nul","non-dropping-particle":"","parse-names":false,"suffix":""},{"dropping-particle":"","family":"Zulaikha","given":"Zulaikha","non-dropping-particle":"","parse-names":false,"suffix":""}],"container-title":"Diponegoro Journal of Accounting; Volume 2, Nomor 4, Tahun 2013","id":"ITEM-1","issued":{"date-parts":[["0"]]},"title":"No Title","type":"article-journal"},"uris":["http://www.mendeley.com/documents/?uuid=fc907ba7-f294-4a17-ac4e-0b96ed21d7bd"]}],"mendeley":{"formattedCitation":"(Hakim Darmadi &amp; Zulaikha, n.d.)"},"properties":{"noteIndex":0},"schema":"https://github.com/citation-style-language/schema/raw/master/csl-citation.json"}</w:instrText>
      </w:r>
      <w:r w:rsidRPr="00C5133C">
        <w:rPr>
          <w:rFonts w:ascii="Cambria" w:hAnsi="Cambria" w:cs="Times New Roman"/>
          <w:sz w:val="22"/>
          <w:lang w:val="en-US"/>
        </w:rPr>
        <w:fldChar w:fldCharType="separate"/>
      </w:r>
      <w:r w:rsidRPr="00C5133C">
        <w:rPr>
          <w:rFonts w:ascii="Cambria" w:hAnsi="Cambria" w:cs="Times New Roman"/>
          <w:noProof/>
          <w:sz w:val="22"/>
          <w:lang w:val="en-US"/>
        </w:rPr>
        <w:t xml:space="preserve">(Hakim Darmadi &amp; Zulaikha, </w:t>
      </w:r>
      <w:r w:rsidR="00887373">
        <w:rPr>
          <w:rFonts w:ascii="Cambria" w:hAnsi="Cambria" w:cs="Times New Roman"/>
          <w:noProof/>
          <w:sz w:val="22"/>
          <w:lang w:val="en-US"/>
        </w:rPr>
        <w:t>2013</w:t>
      </w:r>
      <w:r w:rsidRPr="00C5133C">
        <w:rPr>
          <w:rFonts w:ascii="Cambria" w:hAnsi="Cambria" w:cs="Times New Roman"/>
          <w:noProof/>
          <w:sz w:val="22"/>
          <w:lang w:val="en-US"/>
        </w:rPr>
        <w:t>)</w:t>
      </w:r>
      <w:r w:rsidRPr="00C5133C">
        <w:rPr>
          <w:rFonts w:ascii="Cambria" w:hAnsi="Cambria" w:cs="Times New Roman"/>
          <w:sz w:val="22"/>
          <w:lang w:val="en-US"/>
        </w:rPr>
        <w:fldChar w:fldCharType="end"/>
      </w:r>
      <w:r w:rsidRPr="00C5133C">
        <w:rPr>
          <w:rFonts w:ascii="Cambria" w:hAnsi="Cambria" w:cs="Times New Roman"/>
          <w:sz w:val="22"/>
          <w:lang w:val="en-US"/>
        </w:rPr>
        <w:t xml:space="preserve">. </w:t>
      </w:r>
      <w:r w:rsidRPr="00C5133C">
        <w:rPr>
          <w:rFonts w:ascii="Cambria" w:hAnsi="Cambria" w:cs="Times New Roman"/>
          <w:sz w:val="22"/>
        </w:rPr>
        <w:t>Hal ini dikarenakan perusahaan yang semakin besar akan menghasilkan laba yang semakin besar, yang berakhir pada beban pajak yang juga semakin besar</w:t>
      </w:r>
      <w:r w:rsidRPr="00C5133C">
        <w:rPr>
          <w:rFonts w:ascii="Cambria" w:hAnsi="Cambria" w:cs="Times New Roman"/>
          <w:sz w:val="22"/>
          <w:lang w:val="en-US"/>
        </w:rPr>
        <w:t xml:space="preserve"> </w:t>
      </w:r>
      <w:r w:rsidRPr="00C5133C">
        <w:rPr>
          <w:rFonts w:ascii="Cambria" w:hAnsi="Cambria" w:cs="Times New Roman"/>
          <w:sz w:val="22"/>
          <w:lang w:val="en-US"/>
        </w:rPr>
        <w:fldChar w:fldCharType="begin" w:fldLock="1"/>
      </w:r>
      <w:r w:rsidRPr="00C5133C">
        <w:rPr>
          <w:rFonts w:ascii="Cambria" w:hAnsi="Cambria" w:cs="Times New Roman"/>
          <w:sz w:val="22"/>
          <w:lang w:val="en-US"/>
        </w:rPr>
        <w:instrText>ADDIN CSL_CITATION {"citationItems":[{"id":"ITEM-1","itemData":{"abstract":"This study examines and analyze the effect of firm size, capital structure (leverage), profitabilty, fixed asset intensity, inventory intensity and tax incentive to tax management using effective tax rates as a indicator.     The sample of this study were 73 companies listed in Indonesian Stock exchange for years 2011-2012.     Analysis tool used multiple linear regression with t test, F test, and test the coefficient of determination.     The result show that there are negative effect of fixed asset intensity and inventory intensity on tax management. Another result show that there are positive effect of firm size on tax management. Capital structure (leverage), profitability and tax incentive were not shown to affect tax management.  ","author":[{"dropping-particle":"","family":"Hakim Darmadi","given":"Iqbal Nul","non-dropping-particle":"","parse-names":false,"suffix":""},{"dropping-particle":"","family":"Zulaikha","given":"Zulaikha","non-dropping-particle":"","parse-names":false,"suffix":""}],"container-title":"Diponegoro Journal of Accounting; Volume 2, Nomor 4, Tahun 2013","id":"ITEM-1","issued":{"date-parts":[["0"]]},"title":"No Title","type":"article-journal"},"uris":["http://www.mendeley.com/documents/?uuid=fc907ba7-f294-4a17-ac4e-0b96ed21d7bd"]}],"mendeley":{"formattedCitation":"(Hakim Darmadi &amp; Zulaikha, n.d.)"},"properties":{"noteIndex":0},"schema":"https://github.com/citation-style-language/schema/raw/master/csl-citation.json"}</w:instrText>
      </w:r>
      <w:r w:rsidRPr="00C5133C">
        <w:rPr>
          <w:rFonts w:ascii="Cambria" w:hAnsi="Cambria" w:cs="Times New Roman"/>
          <w:sz w:val="22"/>
          <w:lang w:val="en-US"/>
        </w:rPr>
        <w:fldChar w:fldCharType="separate"/>
      </w:r>
      <w:r w:rsidRPr="00C5133C">
        <w:rPr>
          <w:rFonts w:ascii="Cambria" w:hAnsi="Cambria" w:cs="Times New Roman"/>
          <w:noProof/>
          <w:sz w:val="22"/>
          <w:lang w:val="en-US"/>
        </w:rPr>
        <w:t xml:space="preserve">(Hakim Darmadi &amp; Zulaikha, </w:t>
      </w:r>
      <w:r w:rsidR="00887373">
        <w:rPr>
          <w:rFonts w:ascii="Cambria" w:hAnsi="Cambria" w:cs="Times New Roman"/>
          <w:noProof/>
          <w:sz w:val="22"/>
          <w:lang w:val="en-US"/>
        </w:rPr>
        <w:t>2013</w:t>
      </w:r>
      <w:r w:rsidRPr="00C5133C">
        <w:rPr>
          <w:rFonts w:ascii="Cambria" w:hAnsi="Cambria" w:cs="Times New Roman"/>
          <w:noProof/>
          <w:sz w:val="22"/>
          <w:lang w:val="en-US"/>
        </w:rPr>
        <w:t>)</w:t>
      </w:r>
      <w:r w:rsidRPr="00C5133C">
        <w:rPr>
          <w:rFonts w:ascii="Cambria" w:hAnsi="Cambria" w:cs="Times New Roman"/>
          <w:sz w:val="22"/>
          <w:lang w:val="en-US"/>
        </w:rPr>
        <w:fldChar w:fldCharType="end"/>
      </w:r>
      <w:r w:rsidRPr="00C5133C">
        <w:rPr>
          <w:rFonts w:ascii="Cambria" w:hAnsi="Cambria" w:cs="Times New Roman"/>
          <w:sz w:val="22"/>
          <w:lang w:val="en-US"/>
        </w:rPr>
        <w:t xml:space="preserve">. </w:t>
      </w:r>
      <w:r w:rsidRPr="00C5133C">
        <w:rPr>
          <w:rFonts w:ascii="Cambria" w:hAnsi="Cambria" w:cs="Times New Roman"/>
          <w:sz w:val="22"/>
        </w:rPr>
        <w:t>Hal tersebut tidak dapat dilakukan perusahaan yang lebih kecil karena dianggap tidak memiliki sumber daya untuk mengelola beban pajak</w:t>
      </w:r>
      <w:r w:rsidRPr="00C5133C">
        <w:rPr>
          <w:rFonts w:ascii="Cambria" w:hAnsi="Cambria" w:cs="Times New Roman"/>
          <w:sz w:val="22"/>
          <w:lang w:val="en-US"/>
        </w:rPr>
        <w:t xml:space="preserve"> </w:t>
      </w:r>
      <w:r w:rsidRPr="00C5133C">
        <w:rPr>
          <w:rFonts w:ascii="Cambria" w:hAnsi="Cambria" w:cs="Times New Roman"/>
          <w:sz w:val="22"/>
          <w:lang w:val="en-US"/>
        </w:rPr>
        <w:fldChar w:fldCharType="begin" w:fldLock="1"/>
      </w:r>
      <w:r w:rsidRPr="00C5133C">
        <w:rPr>
          <w:rFonts w:ascii="Cambria" w:hAnsi="Cambria" w:cs="Times New Roman"/>
          <w:sz w:val="22"/>
          <w:lang w:val="en-US"/>
        </w:rPr>
        <w:instrText>ADDIN CSL_CITATION {"citationItems":[{"id":"ITEM-1","itemData":{"abstract":"This study examines and analyze the effect of firm size, capital structure (leverage), profitabilty, fixed asset intensity, inventory intensity and tax incentive to tax management using effective tax rates as a indicator.     The sample of this study were 73 companies listed in Indonesian Stock exchange for years 2011-2012.     Analysis tool used multiple linear regression with t test, F test, and test the coefficient of determination.     The result show that there are negative effect of fixed asset intensity and inventory intensity on tax management. Another result show that there are positive effect of firm size on tax management. Capital structure (leverage), profitability and tax incentive were not shown to affect tax management.  ","author":[{"dropping-particle":"","family":"Hakim Darmadi","given":"Iqbal Nul","non-dropping-particle":"","parse-names":false,"suffix":""},{"dropping-particle":"","family":"Zulaikha","given":"Zulaikha","non-dropping-particle":"","parse-names":false,"suffix":""}],"container-title":"Diponegoro Journal of Accounting; Volume 2, Nomor 4, Tahun 2013","id":"ITEM-1","issued":{"date-parts":[["0"]]},"title":"No Title","type":"article-journal"},"uris":["http://www.mendeley.com/documents/?uuid=fc907ba7-f294-4a17-ac4e-0b96ed21d7bd"]}],"mendeley":{"formattedCitation":"(Hakim Darmadi &amp; Zulaikha, n.d.)"},"properties":{"noteIndex":0},"schema":"https://github.com/citation-style-language/schema/raw/master/csl-citation.json"}</w:instrText>
      </w:r>
      <w:r w:rsidRPr="00C5133C">
        <w:rPr>
          <w:rFonts w:ascii="Cambria" w:hAnsi="Cambria" w:cs="Times New Roman"/>
          <w:sz w:val="22"/>
          <w:lang w:val="en-US"/>
        </w:rPr>
        <w:fldChar w:fldCharType="separate"/>
      </w:r>
      <w:r w:rsidRPr="00C5133C">
        <w:rPr>
          <w:rFonts w:ascii="Cambria" w:hAnsi="Cambria" w:cs="Times New Roman"/>
          <w:noProof/>
          <w:sz w:val="22"/>
          <w:lang w:val="en-US"/>
        </w:rPr>
        <w:t xml:space="preserve">(Hakim Darmadi &amp; Zulaikha, </w:t>
      </w:r>
      <w:r w:rsidR="00887373">
        <w:rPr>
          <w:rFonts w:ascii="Cambria" w:hAnsi="Cambria" w:cs="Times New Roman"/>
          <w:noProof/>
          <w:sz w:val="22"/>
          <w:lang w:val="en-US"/>
        </w:rPr>
        <w:t>2013</w:t>
      </w:r>
      <w:r w:rsidRPr="00C5133C">
        <w:rPr>
          <w:rFonts w:ascii="Cambria" w:hAnsi="Cambria" w:cs="Times New Roman"/>
          <w:noProof/>
          <w:sz w:val="22"/>
          <w:lang w:val="en-US"/>
        </w:rPr>
        <w:t>)</w:t>
      </w:r>
      <w:r w:rsidRPr="00C5133C">
        <w:rPr>
          <w:rFonts w:ascii="Cambria" w:hAnsi="Cambria" w:cs="Times New Roman"/>
          <w:sz w:val="22"/>
          <w:lang w:val="en-US"/>
        </w:rPr>
        <w:fldChar w:fldCharType="end"/>
      </w:r>
      <w:r w:rsidRPr="00C5133C">
        <w:rPr>
          <w:rFonts w:ascii="Cambria" w:hAnsi="Cambria" w:cs="Times New Roman"/>
          <w:sz w:val="22"/>
          <w:lang w:val="en-US"/>
        </w:rPr>
        <w:t>.</w:t>
      </w:r>
      <w:r w:rsidRPr="00C5133C">
        <w:rPr>
          <w:rFonts w:ascii="Cambria" w:eastAsia="Times New Roman" w:hAnsi="Cambria" w:cs="Times New Roman"/>
          <w:color w:val="FF0000"/>
          <w:sz w:val="22"/>
          <w:lang w:val="en-US" w:eastAsia="id-ID"/>
        </w:rPr>
        <w:t xml:space="preserve"> </w:t>
      </w:r>
      <w:r w:rsidRPr="00C5133C">
        <w:rPr>
          <w:rFonts w:ascii="Cambria" w:eastAsia="Times New Roman" w:hAnsi="Cambria" w:cs="Times New Roman"/>
          <w:sz w:val="22"/>
          <w:lang w:eastAsia="id-ID"/>
        </w:rPr>
        <w:t>K</w:t>
      </w:r>
      <w:r w:rsidRPr="00C5133C">
        <w:rPr>
          <w:rFonts w:ascii="Cambria" w:hAnsi="Cambria" w:cs="Times New Roman"/>
          <w:sz w:val="22"/>
        </w:rPr>
        <w:t xml:space="preserve">ewajiban pajak perusahaan akan berbanding lurus dengan jumlah kewajiban dan beban bunga perusahaan </w:t>
      </w:r>
      <w:r w:rsidRPr="00C5133C">
        <w:rPr>
          <w:rFonts w:ascii="Cambria" w:hAnsi="Cambria" w:cs="Times New Roman"/>
          <w:sz w:val="22"/>
        </w:rPr>
        <w:fldChar w:fldCharType="begin" w:fldLock="1"/>
      </w:r>
      <w:r w:rsidRPr="00C5133C">
        <w:rPr>
          <w:rFonts w:ascii="Cambria" w:hAnsi="Cambria" w:cs="Times New Roman"/>
          <w:sz w:val="22"/>
        </w:rPr>
        <w:instrText>ADDIN CSL_CITATION {"citationItems":[{"id":"ITEM-1","itemData":{"ISSN":"1410-8089","abstract":"Tax aggressive was the action designed to reduce taxable income appropriate to tax plan, which could be legal or illegal. This study investigated if extent of liquidity, leverage, independent commissioners and earning management affected corporate tax aggressiveness. Effective tax rate (ETR) and cash effective tax rate (CETR) were used to measure tax aggressiveness. Test was conducted for manufacturing firms which were listed in Indonesian Stock Exchange during the period of 2006-2010. Panel data regression was used to test the hypothesis. The result of the hypothesis was that it failed to find significant relation between liquidity and tax aggressiveness. Independent commissioners had a negative impact to tax aggressiveness, but leverage and earning management had a positive impact to tax aggressiveness.","author":[{"dropping-particle":"","family":"Suyanto","given":"Krisnata Dwi","non-dropping-particle":"","parse-names":false,"suffix":""},{"dropping-particle":"","family":"Supramono","given":"","non-dropping-particle":"","parse-names":false,"suffix":""}],"container-title":"Jurnal Keuangan dan Perbankan","id":"ITEM-1","issue":"2","issued":{"date-parts":[["2012"]]},"page":"167-177","title":"Likuiditas, Leverage, Komisaris Independen, Dan Manajemen Laba Terhadap Agresivitas Pajak Perusahaan","type":"article-journal","volume":"16"},"uris":["http://www.mendeley.com/documents/?uuid=2c6720d1-bc26-4b82-81dd-b0cfec178abd"]}],"mendeley":{"formattedCitation":"(Suyanto &amp; Supramono, 2012)","plainTextFormattedCitation":"(Suyanto &amp; Supramono, 2012)","previouslyFormattedCitation":"(Suyanto &amp; Supramono, 2012)"},"properties":{"noteIndex":0},"schema":"https://github.com/citation-style-language/schema/raw/master/csl-citation.json"}</w:instrText>
      </w:r>
      <w:r w:rsidRPr="00C5133C">
        <w:rPr>
          <w:rFonts w:ascii="Cambria" w:hAnsi="Cambria" w:cs="Times New Roman"/>
          <w:sz w:val="22"/>
        </w:rPr>
        <w:fldChar w:fldCharType="separate"/>
      </w:r>
      <w:r w:rsidRPr="00C5133C">
        <w:rPr>
          <w:rFonts w:ascii="Cambria" w:hAnsi="Cambria" w:cs="Times New Roman"/>
          <w:noProof/>
          <w:sz w:val="22"/>
        </w:rPr>
        <w:t>(Suyanto &amp; Supramono, 2012)</w:t>
      </w:r>
      <w:r w:rsidRPr="00C5133C">
        <w:rPr>
          <w:rFonts w:ascii="Cambria" w:hAnsi="Cambria" w:cs="Times New Roman"/>
          <w:sz w:val="22"/>
        </w:rPr>
        <w:fldChar w:fldCharType="end"/>
      </w:r>
      <w:r w:rsidRPr="00C5133C">
        <w:rPr>
          <w:rFonts w:ascii="Cambria" w:hAnsi="Cambria" w:cs="Times New Roman"/>
          <w:sz w:val="22"/>
        </w:rPr>
        <w:t xml:space="preserve">. Hal ini akan mengurangi pajak yang dibayar perusahaan atau nilai ETR, karena beban bunga merupakan beban yang dapat dijadikan pengurang penghasilan kena pajak </w:t>
      </w:r>
      <w:r w:rsidRPr="00C5133C">
        <w:rPr>
          <w:rFonts w:ascii="Cambria" w:hAnsi="Cambria" w:cs="Times New Roman"/>
          <w:sz w:val="22"/>
        </w:rPr>
        <w:fldChar w:fldCharType="begin" w:fldLock="1"/>
      </w:r>
      <w:r w:rsidRPr="00C5133C">
        <w:rPr>
          <w:rFonts w:ascii="Cambria" w:hAnsi="Cambria" w:cs="Times New Roman"/>
          <w:sz w:val="22"/>
        </w:rPr>
        <w:instrText>ADDIN CSL_CITATION {"citationItems":[{"id":"ITEM-1","itemData":{"DOI":"10.1108/09513571311285621","ISSN":"0951-3574","abstract":"Purpose The purpose of this paper is to empirically test legitimacy theory by comparing the corporate social responsibility (CSR) disclosures of tax aggressive corporations with those of non‐tax aggressive corporations in Australia. Design/methodology/approach A unique sample of 20 Australian corporations accused by the Australian Taxation Office of engaging in tax aggressive activities during the 2001‐2006 period was hand‐collected. These 20 tax aggressive corporations were then matched with 20 non‐tax aggressive corporations (based on industry classification, corporation size and time period). This process generated a choice‐based sample of 40 corporations for empirical analysis. Using content analysis techniques, financial accounting data were gathered from the Aspect‐Huntley database and CSR disclosures were individually measured for each corporation in the sample. Various statistical techniques were then used (e.g. paired sample statistics, Pearson correlation analysis and ordinary least squares regression analysis) to test legitimacy theory. Findings Overall, the empirical results consistently show a positive and statistically significant association between corporate tax aggressiveness and CSR disclosure, thereby confirming legitimacy theory in the context of corporate tax aggressiveness. Originality/value The paper provides empirical evidence in support of legitimacy theory as an explanation for why specific corporations disclose more CSR‐related information than others. Additionally, to the best of the authors' knowledge, the paper is one of the first to document an empirical association between corporate tax aggressiveness and CSR in the literature.","author":[{"dropping-particle":"","family":"Lanis","given":"Roman","non-dropping-particle":"","parse-names":false,"suffix":""},{"dropping-particle":"","family":"Richardson","given":"Grant","non-dropping-particle":"","parse-names":false,"suffix":""}],"container-title":"Accounting, Auditing &amp; Accountability Journal","id":"ITEM-1","issue":"1","issued":{"date-parts":[["2013","1","1"]]},"page":"75-100","publisher":"Emerald Group Publishing Limited","title":"Corporate social responsibility and tax aggressiveness: a test of legitimacy theory","type":"article-journal","volume":"26"},"uris":["http://www.mendeley.com/documents/?uuid=47302811-c81c-44e8-b253-ed433709c548"]}],"mendeley":{"formattedCitation":"(Lanis &amp; Richardson, 2013)","plainTextFormattedCitation":"(Lanis &amp; Richardson, 2013)","previouslyFormattedCitation":"(Lanis &amp; Richardson, 2013)"},"properties":{"noteIndex":0},"schema":"https://github.com/citation-style-language/schema/raw/master/csl-citation.json"}</w:instrText>
      </w:r>
      <w:r w:rsidRPr="00C5133C">
        <w:rPr>
          <w:rFonts w:ascii="Cambria" w:hAnsi="Cambria" w:cs="Times New Roman"/>
          <w:sz w:val="22"/>
        </w:rPr>
        <w:fldChar w:fldCharType="separate"/>
      </w:r>
      <w:r w:rsidRPr="00C5133C">
        <w:rPr>
          <w:rFonts w:ascii="Cambria" w:hAnsi="Cambria" w:cs="Times New Roman"/>
          <w:noProof/>
          <w:sz w:val="22"/>
        </w:rPr>
        <w:t>(Lanis &amp; Richardson, 2013)</w:t>
      </w:r>
      <w:r w:rsidRPr="00C5133C">
        <w:rPr>
          <w:rFonts w:ascii="Cambria" w:hAnsi="Cambria" w:cs="Times New Roman"/>
          <w:sz w:val="22"/>
        </w:rPr>
        <w:fldChar w:fldCharType="end"/>
      </w:r>
      <w:r w:rsidRPr="00C5133C">
        <w:rPr>
          <w:rFonts w:ascii="Cambria" w:hAnsi="Cambria" w:cs="Times New Roman"/>
          <w:sz w:val="22"/>
        </w:rPr>
        <w:t>. Ukuran perusahaan didefinisikan sebagai nilai yang menggambarkan besar kecilnya ukuran suatu perusahaan</w:t>
      </w:r>
      <w:r w:rsidRPr="00C5133C">
        <w:rPr>
          <w:rFonts w:ascii="Cambria" w:hAnsi="Cambria" w:cs="Times New Roman"/>
          <w:sz w:val="22"/>
          <w:lang w:val="en-US"/>
        </w:rPr>
        <w:t xml:space="preserve"> seperti yang digunakan pada penelitian oleh </w:t>
      </w:r>
      <w:r w:rsidRPr="00C5133C">
        <w:rPr>
          <w:rFonts w:ascii="Cambria" w:hAnsi="Cambria" w:cs="Times New Roman"/>
          <w:sz w:val="22"/>
          <w:lang w:val="en-US"/>
        </w:rPr>
        <w:fldChar w:fldCharType="begin" w:fldLock="1"/>
      </w:r>
      <w:r w:rsidRPr="00C5133C">
        <w:rPr>
          <w:rFonts w:ascii="Cambria" w:hAnsi="Cambria" w:cs="Times New Roman"/>
          <w:sz w:val="22"/>
          <w:lang w:val="en-US"/>
        </w:rPr>
        <w:instrText>ADDIN CSL_CITATION {"citationItems":[{"id":"ITEM-1","itemData":{"DOI":"10.32493/keberlanjutan.v2i1.y2017.p431-459","ISSN":"2528-5599","abstract":"AbstractThis research is aimed to provide empirical evident about relationship between leverage, loss carry forward and earnings management on tax avoidance. Using purposive sampling this research selected 264 firms that are listed in Indonesian Stock Exchange from 2013-2015 as samples. The result of multiple regression of panel data shows that there is significant relationship between leverage and earnings management on tax avoidance. Meanwhile, loss carry forward shows no significant relationship on tax avoidance. Keywords: leverage, loss carry forward, earnings management, tax avoidance","author":[{"dropping-particle":"","family":"Pajriyansyah","given":"Ridwan -","non-dropping-particle":"","parse-names":false,"suffix":""},{"dropping-particle":"","family":"Firmansyah","given":"Amrie -","non-dropping-particle":"","parse-names":false,"suffix":""}],"container-title":"Keberlanjutan","id":"ITEM-1","issue":"1","issued":{"date-parts":[["2017"]]},"page":"431","title":"Pengaruh Leverage, Kompensasi Rugi Fiskal Dan Manajemen Laba Terhadap Penghindaran Pajak","type":"article-journal","volume":"2"},"uris":["http://www.mendeley.com/documents/?uuid=79dde6cf-71c5-4f7f-8af3-6f1db3e66d65"]}],"mendeley":{"formattedCitation":"(Pajriyansyah &amp; Firmansyah, 2017)","plainTextFormattedCitation":"(Pajriyansyah &amp; Firmansyah, 2017)","previouslyFormattedCitation":"(Pajriyansyah &amp; Firmansyah, 2017)"},"properties":{"noteIndex":0},"schema":"https://github.com/citation-style-language/schema/raw/master/csl-citation.json"}</w:instrText>
      </w:r>
      <w:r w:rsidRPr="00C5133C">
        <w:rPr>
          <w:rFonts w:ascii="Cambria" w:hAnsi="Cambria" w:cs="Times New Roman"/>
          <w:sz w:val="22"/>
          <w:lang w:val="en-US"/>
        </w:rPr>
        <w:fldChar w:fldCharType="separate"/>
      </w:r>
      <w:r w:rsidRPr="00C5133C">
        <w:rPr>
          <w:rFonts w:ascii="Cambria" w:hAnsi="Cambria" w:cs="Times New Roman"/>
          <w:noProof/>
          <w:sz w:val="22"/>
          <w:lang w:val="en-US"/>
        </w:rPr>
        <w:t>(Pajriyansyah &amp; Firmansyah, 2017)</w:t>
      </w:r>
      <w:r w:rsidRPr="00C5133C">
        <w:rPr>
          <w:rFonts w:ascii="Cambria" w:hAnsi="Cambria" w:cs="Times New Roman"/>
          <w:sz w:val="22"/>
          <w:lang w:val="en-US"/>
        </w:rPr>
        <w:fldChar w:fldCharType="end"/>
      </w:r>
      <w:r w:rsidRPr="00C5133C">
        <w:rPr>
          <w:rFonts w:ascii="Cambria" w:hAnsi="Cambria" w:cs="Times New Roman"/>
          <w:sz w:val="22"/>
        </w:rPr>
        <w:t xml:space="preserve">. Ukuran perusahaan digunakan sebagai variabel </w:t>
      </w:r>
      <w:r w:rsidR="00887373">
        <w:rPr>
          <w:rFonts w:ascii="Cambria" w:hAnsi="Cambria" w:cs="Times New Roman"/>
          <w:sz w:val="22"/>
        </w:rPr>
        <w:t>indep</w:t>
      </w:r>
      <w:r w:rsidRPr="00C5133C">
        <w:rPr>
          <w:rFonts w:ascii="Cambria" w:hAnsi="Cambria" w:cs="Times New Roman"/>
          <w:sz w:val="22"/>
        </w:rPr>
        <w:t>e</w:t>
      </w:r>
      <w:r w:rsidR="00887373">
        <w:rPr>
          <w:rFonts w:ascii="Cambria" w:hAnsi="Cambria" w:cs="Times New Roman"/>
          <w:sz w:val="22"/>
        </w:rPr>
        <w:t>nd</w:t>
      </w:r>
      <w:r w:rsidRPr="00C5133C">
        <w:rPr>
          <w:rFonts w:ascii="Cambria" w:hAnsi="Cambria" w:cs="Times New Roman"/>
          <w:sz w:val="22"/>
        </w:rPr>
        <w:t>en karena kemungkinan memiliki pengaruh signifikan terhadap hubungan dengan</w:t>
      </w:r>
      <w:r w:rsidRPr="00C5133C">
        <w:rPr>
          <w:rFonts w:ascii="Cambria" w:hAnsi="Cambria" w:cs="Times New Roman"/>
          <w:sz w:val="22"/>
          <w:lang w:val="en-US"/>
        </w:rPr>
        <w:t xml:space="preserve"> variabel penghindaran</w:t>
      </w:r>
      <w:r w:rsidRPr="00C5133C">
        <w:rPr>
          <w:rFonts w:ascii="Cambria" w:hAnsi="Cambria" w:cs="Times New Roman"/>
          <w:sz w:val="22"/>
        </w:rPr>
        <w:t xml:space="preserve"> pajak, dimana perusahaan besar cenderung melakukan penghindaran pajak apabila dibandingkan dengan perusahaan</w:t>
      </w:r>
      <w:r w:rsidRPr="00C5133C">
        <w:rPr>
          <w:rFonts w:ascii="Cambria" w:hAnsi="Cambria" w:cs="Times New Roman"/>
          <w:sz w:val="22"/>
          <w:lang w:val="en-US"/>
        </w:rPr>
        <w:t xml:space="preserve"> yang lebih</w:t>
      </w:r>
      <w:r w:rsidRPr="00C5133C">
        <w:rPr>
          <w:rFonts w:ascii="Cambria" w:hAnsi="Cambria" w:cs="Times New Roman"/>
          <w:sz w:val="22"/>
        </w:rPr>
        <w:t xml:space="preserve"> kecil. Formula yang digunakan untuk menghitung ukuran perusahaan adalah:</w:t>
      </w:r>
    </w:p>
    <w:p w14:paraId="0FDD13A9" w14:textId="77777777" w:rsidR="00887373" w:rsidRDefault="00887373" w:rsidP="00C5133C">
      <w:pPr>
        <w:spacing w:line="276" w:lineRule="auto"/>
        <w:rPr>
          <w:rFonts w:ascii="Cambria" w:hAnsi="Cambria" w:cs="Times New Roman"/>
          <w:sz w:val="22"/>
        </w:rPr>
      </w:pPr>
    </w:p>
    <w:p w14:paraId="5C3169E2" w14:textId="2FD513F3" w:rsidR="006D2571" w:rsidRPr="00887373" w:rsidRDefault="00887373" w:rsidP="00887373">
      <w:pPr>
        <w:spacing w:line="276" w:lineRule="auto"/>
        <w:rPr>
          <w:rFonts w:ascii="Cambria" w:eastAsiaTheme="minorEastAsia" w:hAnsi="Cambria" w:cs="Times New Roman"/>
          <w:b/>
          <w:bCs/>
          <w:sz w:val="22"/>
        </w:rPr>
      </w:pPr>
      <m:oMathPara>
        <m:oMath>
          <m:r>
            <m:rPr>
              <m:sty m:val="bi"/>
            </m:rPr>
            <w:rPr>
              <w:rFonts w:ascii="Cambria Math" w:hAnsi="Cambria Math" w:cs="Times New Roman"/>
              <w:sz w:val="22"/>
            </w:rPr>
            <m:t xml:space="preserve">SIZE= </m:t>
          </m:r>
          <m:func>
            <m:funcPr>
              <m:ctrlPr>
                <w:rPr>
                  <w:rFonts w:ascii="Cambria Math" w:hAnsi="Cambria Math" w:cs="Times New Roman"/>
                  <w:b/>
                  <w:bCs/>
                  <w:i/>
                  <w:sz w:val="22"/>
                </w:rPr>
              </m:ctrlPr>
            </m:funcPr>
            <m:fName>
              <m:r>
                <m:rPr>
                  <m:sty m:val="b"/>
                </m:rPr>
                <w:rPr>
                  <w:rFonts w:ascii="Cambria Math" w:hAnsi="Cambria Math" w:cs="Times New Roman"/>
                </w:rPr>
                <m:t>ln</m:t>
              </m:r>
            </m:fName>
            <m:e>
              <m:d>
                <m:dPr>
                  <m:ctrlPr>
                    <w:rPr>
                      <w:rFonts w:ascii="Cambria Math" w:hAnsi="Cambria Math" w:cs="Times New Roman"/>
                      <w:b/>
                      <w:bCs/>
                      <w:i/>
                      <w:sz w:val="22"/>
                    </w:rPr>
                  </m:ctrlPr>
                </m:dPr>
                <m:e>
                  <m:r>
                    <m:rPr>
                      <m:sty m:val="bi"/>
                    </m:rPr>
                    <w:rPr>
                      <w:rFonts w:ascii="Cambria Math" w:hAnsi="Cambria Math" w:cs="Times New Roman"/>
                      <w:sz w:val="22"/>
                    </w:rPr>
                    <m:t>Total Aset</m:t>
                  </m:r>
                </m:e>
              </m:d>
            </m:e>
          </m:func>
        </m:oMath>
      </m:oMathPara>
    </w:p>
    <w:p w14:paraId="78F2ADD9" w14:textId="77777777" w:rsidR="00887373" w:rsidRPr="00887373" w:rsidRDefault="00887373" w:rsidP="00887373">
      <w:pPr>
        <w:spacing w:line="276" w:lineRule="auto"/>
        <w:ind w:firstLine="0"/>
        <w:rPr>
          <w:rFonts w:ascii="Cambria" w:hAnsi="Cambria" w:cs="Times New Roman"/>
          <w:b/>
          <w:bCs/>
          <w:sz w:val="22"/>
        </w:rPr>
      </w:pPr>
    </w:p>
    <w:p w14:paraId="6EB7FCDC" w14:textId="527072C7" w:rsidR="006D2571" w:rsidRDefault="006D2571" w:rsidP="00C5133C">
      <w:pPr>
        <w:spacing w:line="276" w:lineRule="auto"/>
        <w:rPr>
          <w:rFonts w:ascii="Cambria" w:hAnsi="Cambria" w:cs="Times New Roman"/>
          <w:sz w:val="22"/>
        </w:rPr>
      </w:pPr>
      <w:r w:rsidRPr="00C5133C">
        <w:rPr>
          <w:rFonts w:ascii="Cambria" w:hAnsi="Cambria" w:cs="Times New Roman"/>
          <w:sz w:val="22"/>
          <w:lang w:val="en-US"/>
        </w:rPr>
        <w:fldChar w:fldCharType="begin" w:fldLock="1"/>
      </w:r>
      <w:r w:rsidRPr="00C5133C">
        <w:rPr>
          <w:rFonts w:ascii="Cambria" w:hAnsi="Cambria" w:cs="Times New Roman"/>
          <w:sz w:val="22"/>
          <w:lang w:val="en-US"/>
        </w:rPr>
        <w:instrText>ADDIN CSL_CITATION {"citationItems":[{"id":"ITEM-1","itemData":{"ISSN":"1410-8089","abstract":"Tax aggressive was the action designed to reduce taxable income appropriate to tax plan, which could be legal or illegal. This study investigated if extent of liquidity, leverage, independent commissioners and earning management affected corporate tax aggressiveness. Effective tax rate (ETR) and cash effective tax rate (CETR) were used to measure tax aggressiveness. Test was conducted for manufacturing firms which were listed in Indonesian Stock Exchange during the period of 2006-2010. Panel data regression was used to test the hypothesis. The result of the hypothesis was that it failed to find significant relation between liquidity and tax aggressiveness. Independent commissioners had a negative impact to tax aggressiveness, but leverage and earning management had a positive impact to tax aggressiveness.","author":[{"dropping-particle":"","family":"Suyanto","given":"Krisnata Dwi","non-dropping-particle":"","parse-names":false,"suffix":""},{"dropping-particle":"","family":"Supramono","given":"","non-dropping-particle":"","parse-names":false,"suffix":""}],"container-title":"Jurnal Keuangan dan Perbankan","id":"ITEM-1","issue":"2","issued":{"date-parts":[["2012"]]},"page":"167-177","title":"Likuiditas, Leverage, Komisaris Independen, Dan Manajemen Laba Terhadap Agresivitas Pajak Perusahaan","type":"article-journal","volume":"16"},"uris":["http://www.mendeley.com/documents/?uuid=2c6720d1-bc26-4b82-81dd-b0cfec178abd"]}],"mendeley":{"formattedCitation":"(Suyanto &amp; Supramono, 2012)","manualFormatting":"Suyanto &amp; Supramono (2012)","plainTextFormattedCitation":"(Suyanto &amp; Supramono, 2012)","previouslyFormattedCitation":"(Suyanto &amp; Supramono, 2012)"},"properties":{"noteIndex":0},"schema":"https://github.com/citation-style-language/schema/raw/master/csl-citation.json"}</w:instrText>
      </w:r>
      <w:r w:rsidRPr="00C5133C">
        <w:rPr>
          <w:rFonts w:ascii="Cambria" w:hAnsi="Cambria" w:cs="Times New Roman"/>
          <w:sz w:val="22"/>
          <w:lang w:val="en-US"/>
        </w:rPr>
        <w:fldChar w:fldCharType="separate"/>
      </w:r>
      <w:r w:rsidRPr="00C5133C">
        <w:rPr>
          <w:rFonts w:ascii="Cambria" w:hAnsi="Cambria" w:cs="Times New Roman"/>
          <w:noProof/>
          <w:sz w:val="22"/>
          <w:lang w:val="en-US"/>
        </w:rPr>
        <w:t>Suyanto &amp; Supramono (2012)</w:t>
      </w:r>
      <w:r w:rsidRPr="00C5133C">
        <w:rPr>
          <w:rFonts w:ascii="Cambria" w:hAnsi="Cambria" w:cs="Times New Roman"/>
          <w:sz w:val="22"/>
          <w:lang w:val="en-US"/>
        </w:rPr>
        <w:fldChar w:fldCharType="end"/>
      </w:r>
      <w:r w:rsidRPr="00C5133C">
        <w:rPr>
          <w:rFonts w:ascii="Cambria" w:hAnsi="Cambria" w:cs="Times New Roman"/>
          <w:sz w:val="22"/>
          <w:lang w:val="en-US"/>
        </w:rPr>
        <w:t xml:space="preserve"> mengemukakan bahwa perusahaan dengan kewajiban pajak tinggi cenderung untuk memiliki utang yang tinggi, yang akan menimbulkan bunga yang juga semakin tinggi. Tingginya beban bunga akan berakibat pada beban pajak penghasilan yang semakin kecil. </w:t>
      </w:r>
      <w:r w:rsidRPr="00C5133C">
        <w:rPr>
          <w:rFonts w:ascii="Cambria" w:hAnsi="Cambria" w:cs="Times New Roman"/>
          <w:sz w:val="22"/>
          <w:lang w:val="en-US"/>
        </w:rPr>
        <w:fldChar w:fldCharType="begin" w:fldLock="1"/>
      </w:r>
      <w:r w:rsidRPr="00C5133C">
        <w:rPr>
          <w:rFonts w:ascii="Cambria" w:hAnsi="Cambria" w:cs="Times New Roman"/>
          <w:sz w:val="22"/>
          <w:lang w:val="en-US"/>
        </w:rPr>
        <w:instrText>ADDIN CSL_CITATION {"citationItems":[{"id":"ITEM-1","itemData":{"DOI":"10.1108/09513571311285621","ISSN":"0951-3574","abstract":"Purpose The purpose of this paper is to empirically test legitimacy theory by comparing the corporate social responsibility (CSR) disclosures of tax aggressive corporations with those of non‐tax aggressive corporations in Australia. Design/methodology/approach A unique sample of 20 Australian corporations accused by the Australian Taxation Office of engaging in tax aggressive activities during the 2001‐2006 period was hand‐collected. These 20 tax aggressive corporations were then matched with 20 non‐tax aggressive corporations (based on industry classification, corporation size and time period). This process generated a choice‐based sample of 40 corporations for empirical analysis. Using content analysis techniques, financial accounting data were gathered from the Aspect‐Huntley database and CSR disclosures were individually measured for each corporation in the sample. Various statistical techniques were then used (e.g. paired sample statistics, Pearson correlation analysis and ordinary least squares regression analysis) to test legitimacy theory. Findings Overall, the empirical results consistently show a positive and statistically significant association between corporate tax aggressiveness and CSR disclosure, thereby confirming legitimacy theory in the context of corporate tax aggressiveness. Originality/value The paper provides empirical evidence in support of legitimacy theory as an explanation for why specific corporations disclose more CSR‐related information than others. Additionally, to the best of the authors' knowledge, the paper is one of the first to document an empirical association between corporate tax aggressiveness and CSR in the literature.","author":[{"dropping-particle":"","family":"Lanis","given":"Roman","non-dropping-particle":"","parse-names":false,"suffix":""},{"dropping-particle":"","family":"Richardson","given":"Grant","non-dropping-particle":"","parse-names":false,"suffix":""}],"container-title":"Accounting, Auditing &amp; Accountability Journal","id":"ITEM-1","issue":"1","issued":{"date-parts":[["2013","1","1"]]},"page":"75-100","publisher":"Emerald Group Publishing Limited","title":"Corporate social responsibility and tax aggressiveness: a test of legitimacy theory","type":"article-journal","volume":"26"},"uris":["http://www.mendeley.com/documents/?uuid=47302811-c81c-44e8-b253-ed433709c548"]}],"mendeley":{"formattedCitation":"(Lanis &amp; Richardson, 2013)","manualFormatting":"Lanis &amp; Richardson, (2013)","plainTextFormattedCitation":"(Lanis &amp; Richardson, 2013)","previouslyFormattedCitation":"(Lanis &amp; Richardson, 2013)"},"properties":{"noteIndex":0},"schema":"https://github.com/citation-style-language/schema/raw/master/csl-citation.json"}</w:instrText>
      </w:r>
      <w:r w:rsidRPr="00C5133C">
        <w:rPr>
          <w:rFonts w:ascii="Cambria" w:hAnsi="Cambria" w:cs="Times New Roman"/>
          <w:sz w:val="22"/>
          <w:lang w:val="en-US"/>
        </w:rPr>
        <w:fldChar w:fldCharType="separate"/>
      </w:r>
      <w:r w:rsidRPr="00C5133C">
        <w:rPr>
          <w:rFonts w:ascii="Cambria" w:hAnsi="Cambria" w:cs="Times New Roman"/>
          <w:noProof/>
          <w:sz w:val="22"/>
          <w:lang w:val="en-US"/>
        </w:rPr>
        <w:t>Lanis &amp; Richardson, (2013)</w:t>
      </w:r>
      <w:r w:rsidRPr="00C5133C">
        <w:rPr>
          <w:rFonts w:ascii="Cambria" w:hAnsi="Cambria" w:cs="Times New Roman"/>
          <w:sz w:val="22"/>
          <w:lang w:val="en-US"/>
        </w:rPr>
        <w:fldChar w:fldCharType="end"/>
      </w:r>
      <w:r w:rsidRPr="00C5133C">
        <w:rPr>
          <w:rFonts w:ascii="Cambria" w:hAnsi="Cambria" w:cs="Times New Roman"/>
          <w:sz w:val="22"/>
          <w:lang w:val="en-US"/>
        </w:rPr>
        <w:t xml:space="preserve"> mengemukakan bahwa perusahaan dengan tingkat utang yang lebih tinggi cenderung untuk memiliki nilai CETR yang rendah. </w:t>
      </w:r>
      <w:r w:rsidRPr="00C5133C">
        <w:rPr>
          <w:rFonts w:ascii="Cambria" w:hAnsi="Cambria" w:cs="Times New Roman"/>
          <w:i/>
          <w:sz w:val="22"/>
        </w:rPr>
        <w:t>Leverage</w:t>
      </w:r>
      <w:r w:rsidRPr="00C5133C">
        <w:rPr>
          <w:rFonts w:ascii="Cambria" w:hAnsi="Cambria" w:cs="Times New Roman"/>
          <w:sz w:val="22"/>
        </w:rPr>
        <w:t xml:space="preserve"> di</w:t>
      </w:r>
      <w:r w:rsidRPr="00C5133C">
        <w:rPr>
          <w:rFonts w:ascii="Cambria" w:hAnsi="Cambria" w:cs="Times New Roman"/>
          <w:sz w:val="22"/>
          <w:lang w:val="en-US"/>
        </w:rPr>
        <w:t>pilih</w:t>
      </w:r>
      <w:r w:rsidRPr="00C5133C">
        <w:rPr>
          <w:rFonts w:ascii="Cambria" w:hAnsi="Cambria" w:cs="Times New Roman"/>
          <w:sz w:val="22"/>
        </w:rPr>
        <w:t xml:space="preserve"> sebagai variabel </w:t>
      </w:r>
      <w:r w:rsidR="00887373">
        <w:rPr>
          <w:rFonts w:ascii="Cambria" w:hAnsi="Cambria" w:cs="Times New Roman"/>
          <w:sz w:val="22"/>
        </w:rPr>
        <w:t>i</w:t>
      </w:r>
      <w:r w:rsidRPr="00C5133C">
        <w:rPr>
          <w:rFonts w:ascii="Cambria" w:hAnsi="Cambria" w:cs="Times New Roman"/>
          <w:sz w:val="22"/>
        </w:rPr>
        <w:t>ndepen</w:t>
      </w:r>
      <w:r w:rsidR="00887373">
        <w:rPr>
          <w:rFonts w:ascii="Cambria" w:hAnsi="Cambria" w:cs="Times New Roman"/>
          <w:sz w:val="22"/>
        </w:rPr>
        <w:t>den</w:t>
      </w:r>
      <w:r w:rsidRPr="00C5133C">
        <w:rPr>
          <w:rFonts w:ascii="Cambria" w:hAnsi="Cambria" w:cs="Times New Roman"/>
          <w:sz w:val="22"/>
        </w:rPr>
        <w:t xml:space="preserve"> dalam penelitian  karena diperkirakan memiliki pengaruh signifikan terhadap penghindaran pajak, dimana perusahaan yang memiliki tingkat toleransi r</w:t>
      </w:r>
      <w:r w:rsidR="006D66D8">
        <w:rPr>
          <w:rFonts w:ascii="Cambria" w:hAnsi="Cambria" w:cs="Times New Roman"/>
          <w:sz w:val="22"/>
        </w:rPr>
        <w:t>i</w:t>
      </w:r>
      <w:r w:rsidRPr="00C5133C">
        <w:rPr>
          <w:rFonts w:ascii="Cambria" w:hAnsi="Cambria" w:cs="Times New Roman"/>
          <w:sz w:val="22"/>
        </w:rPr>
        <w:t xml:space="preserve">siko yang tinggi kemungkinan memiliki </w:t>
      </w:r>
      <w:r w:rsidRPr="00C5133C">
        <w:rPr>
          <w:rFonts w:ascii="Cambria" w:hAnsi="Cambria" w:cs="Times New Roman"/>
          <w:sz w:val="22"/>
          <w:lang w:val="en-US"/>
        </w:rPr>
        <w:t xml:space="preserve">perbedaan </w:t>
      </w:r>
      <w:r w:rsidRPr="00C5133C">
        <w:rPr>
          <w:rFonts w:ascii="Cambria" w:hAnsi="Cambria" w:cs="Times New Roman"/>
          <w:sz w:val="22"/>
        </w:rPr>
        <w:t xml:space="preserve">keterlibatan penghindaran </w:t>
      </w:r>
      <w:r w:rsidRPr="00C5133C">
        <w:rPr>
          <w:rFonts w:ascii="Cambria" w:hAnsi="Cambria" w:cs="Times New Roman"/>
          <w:sz w:val="22"/>
          <w:lang w:val="en-US"/>
        </w:rPr>
        <w:t>pajak</w:t>
      </w:r>
      <w:r w:rsidRPr="00C5133C">
        <w:rPr>
          <w:rFonts w:ascii="Cambria" w:hAnsi="Cambria" w:cs="Times New Roman"/>
          <w:sz w:val="22"/>
        </w:rPr>
        <w:t xml:space="preserve"> dengan perusahaan yang memiliki tingkat toleransi r</w:t>
      </w:r>
      <w:r w:rsidR="006D66D8">
        <w:rPr>
          <w:rFonts w:ascii="Cambria" w:hAnsi="Cambria" w:cs="Times New Roman"/>
          <w:sz w:val="22"/>
        </w:rPr>
        <w:t>i</w:t>
      </w:r>
      <w:r w:rsidRPr="00C5133C">
        <w:rPr>
          <w:rFonts w:ascii="Cambria" w:hAnsi="Cambria" w:cs="Times New Roman"/>
          <w:sz w:val="22"/>
        </w:rPr>
        <w:t xml:space="preserve">siko yang rendah </w:t>
      </w:r>
      <w:r w:rsidRPr="00C5133C">
        <w:rPr>
          <w:rFonts w:ascii="Cambria" w:hAnsi="Cambria" w:cs="Times New Roman"/>
          <w:sz w:val="22"/>
        </w:rPr>
        <w:fldChar w:fldCharType="begin" w:fldLock="1"/>
      </w:r>
      <w:r w:rsidRPr="00C5133C">
        <w:rPr>
          <w:rFonts w:ascii="Cambria" w:hAnsi="Cambria" w:cs="Times New Roman"/>
          <w:sz w:val="22"/>
        </w:rPr>
        <w:instrText>ADDIN CSL_CITATION {"citationItems":[{"id":"ITEM-1","itemData":{"DOI":"10.32493/keberlanjutan.v2i1.y2017.p431-459","ISSN":"2528-5599","abstract":"AbstractThis research is aimed to provide empirical evident about relationship between leverage, loss carry forward and earnings management on tax avoidance. Using purposive sampling this research selected 264 firms that are listed in Indonesian Stock Exchange from 2013-2015 as samples. The result of multiple regression of panel data shows that there is significant relationship between leverage and earnings management on tax avoidance. Meanwhile, loss carry forward shows no significant relationship on tax avoidance. Keywords: leverage, loss carry forward, earnings management, tax avoidance","author":[{"dropping-particle":"","family":"Pajriyansyah","given":"Ridwan -","non-dropping-particle":"","parse-names":false,"suffix":""},{"dropping-particle":"","family":"Firmansyah","given":"Amrie -","non-dropping-particle":"","parse-names":false,"suffix":""}],"container-title":"Keberlanjutan","id":"ITEM-1","issue":"1","issued":{"date-parts":[["2017"]]},"page":"431","title":"Pengaruh Leverage, Kompensasi Rugi Fiskal Dan Manajemen Laba Terhadap Penghindaran Pajak","type":"article-journal","volume":"2"},"uris":["http://www.mendeley.com/documents/?uuid=79dde6cf-71c5-4f7f-8af3-6f1db3e66d65"]}],"mendeley":{"formattedCitation":"(Pajriyansyah &amp; Firmansyah, 2017)","plainTextFormattedCitation":"(Pajriyansyah &amp; Firmansyah, 2017)","previouslyFormattedCitation":"(Pajriyansyah &amp; Firmansyah, 2017)"},"properties":{"noteIndex":0},"schema":"https://github.com/citation-style-language/schema/raw/master/csl-citation.json"}</w:instrText>
      </w:r>
      <w:r w:rsidRPr="00C5133C">
        <w:rPr>
          <w:rFonts w:ascii="Cambria" w:hAnsi="Cambria" w:cs="Times New Roman"/>
          <w:sz w:val="22"/>
        </w:rPr>
        <w:fldChar w:fldCharType="separate"/>
      </w:r>
      <w:r w:rsidRPr="00C5133C">
        <w:rPr>
          <w:rFonts w:ascii="Cambria" w:hAnsi="Cambria" w:cs="Times New Roman"/>
          <w:noProof/>
          <w:sz w:val="22"/>
        </w:rPr>
        <w:t>(Pajriyansyah &amp; Firmansyah, 2017)</w:t>
      </w:r>
      <w:r w:rsidRPr="00C5133C">
        <w:rPr>
          <w:rFonts w:ascii="Cambria" w:hAnsi="Cambria" w:cs="Times New Roman"/>
          <w:sz w:val="22"/>
        </w:rPr>
        <w:fldChar w:fldCharType="end"/>
      </w:r>
      <w:r w:rsidRPr="00C5133C">
        <w:rPr>
          <w:rFonts w:ascii="Cambria" w:hAnsi="Cambria" w:cs="Times New Roman"/>
          <w:sz w:val="22"/>
        </w:rPr>
        <w:t xml:space="preserve">. </w:t>
      </w:r>
      <w:r w:rsidRPr="00C5133C">
        <w:rPr>
          <w:rFonts w:ascii="Cambria" w:hAnsi="Cambria" w:cs="Times New Roman"/>
          <w:i/>
          <w:sz w:val="22"/>
          <w:lang w:val="en-US"/>
        </w:rPr>
        <w:t>Leverage</w:t>
      </w:r>
      <w:r w:rsidRPr="00C5133C">
        <w:rPr>
          <w:rFonts w:ascii="Cambria" w:hAnsi="Cambria" w:cs="Times New Roman"/>
          <w:sz w:val="22"/>
          <w:lang w:val="en-US"/>
        </w:rPr>
        <w:t xml:space="preserve"> diukur dengan menggunakan proksi </w:t>
      </w:r>
      <w:r w:rsidRPr="001C68B4">
        <w:rPr>
          <w:rFonts w:ascii="Cambria" w:hAnsi="Cambria" w:cs="Times New Roman"/>
          <w:i/>
          <w:iCs/>
          <w:sz w:val="22"/>
          <w:lang w:val="en-US"/>
        </w:rPr>
        <w:t>total debt to asset ratio</w:t>
      </w:r>
      <w:r w:rsidRPr="00C5133C">
        <w:rPr>
          <w:rFonts w:ascii="Cambria" w:hAnsi="Cambria" w:cs="Times New Roman"/>
          <w:sz w:val="22"/>
          <w:lang w:val="en-US"/>
        </w:rPr>
        <w:t xml:space="preserve"> seperti yang digunakan pada penelitian </w:t>
      </w:r>
      <w:r w:rsidRPr="00C5133C">
        <w:rPr>
          <w:rFonts w:ascii="Cambria" w:hAnsi="Cambria" w:cs="Times New Roman"/>
          <w:sz w:val="22"/>
          <w:lang w:val="en-US"/>
        </w:rPr>
        <w:fldChar w:fldCharType="begin" w:fldLock="1"/>
      </w:r>
      <w:r w:rsidRPr="00C5133C">
        <w:rPr>
          <w:rFonts w:ascii="Cambria" w:hAnsi="Cambria" w:cs="Times New Roman"/>
          <w:sz w:val="22"/>
          <w:lang w:val="en-US"/>
        </w:rPr>
        <w:instrText>ADDIN CSL_CITATION {"citationItems":[{"id":"ITEM-1","itemData":{"DOI":"10.32493/keberlanjutan.v2i1.y2017.p431-459","ISSN":"2528-5599","abstract":"AbstractThis research is aimed to provide empirical evident about relationship between leverage, loss carry forward and earnings management on tax avoidance. Using purposive sampling this research selected 264 firms that are listed in Indonesian Stock Exchange from 2013-2015 as samples. The result of multiple regression of panel data shows that there is significant relationship between leverage and earnings management on tax avoidance. Meanwhile, loss carry forward shows no significant relationship on tax avoidance. Keywords: leverage, loss carry forward, earnings management, tax avoidance","author":[{"dropping-particle":"","family":"Pajriyansyah","given":"Ridwan -","non-dropping-particle":"","parse-names":false,"suffix":""},{"dropping-particle":"","family":"Firmansyah","given":"Amrie -","non-dropping-particle":"","parse-names":false,"suffix":""}],"container-title":"Keberlanjutan","id":"ITEM-1","issue":"1","issued":{"date-parts":[["2017"]]},"page":"431","title":"Pengaruh Leverage, Kompensasi Rugi Fiskal Dan Manajemen Laba Terhadap Penghindaran Pajak","type":"article-journal","volume":"2"},"uris":["http://www.mendeley.com/documents/?uuid=79dde6cf-71c5-4f7f-8af3-6f1db3e66d65"]}],"mendeley":{"formattedCitation":"(Pajriyansyah &amp; Firmansyah, 2017)","plainTextFormattedCitation":"(Pajriyansyah &amp; Firmansyah, 2017)","previouslyFormattedCitation":"(Pajriyansyah &amp; Firmansyah, 2017)"},"properties":{"noteIndex":0},"schema":"https://github.com/citation-style-language/schema/raw/master/csl-citation.json"}</w:instrText>
      </w:r>
      <w:r w:rsidRPr="00C5133C">
        <w:rPr>
          <w:rFonts w:ascii="Cambria" w:hAnsi="Cambria" w:cs="Times New Roman"/>
          <w:sz w:val="22"/>
          <w:lang w:val="en-US"/>
        </w:rPr>
        <w:fldChar w:fldCharType="separate"/>
      </w:r>
      <w:r w:rsidRPr="00C5133C">
        <w:rPr>
          <w:rFonts w:ascii="Cambria" w:hAnsi="Cambria" w:cs="Times New Roman"/>
          <w:noProof/>
          <w:sz w:val="22"/>
          <w:lang w:val="en-US"/>
        </w:rPr>
        <w:t>(Pajriyansyah &amp; Firmansyah, 2017)</w:t>
      </w:r>
      <w:r w:rsidRPr="00C5133C">
        <w:rPr>
          <w:rFonts w:ascii="Cambria" w:hAnsi="Cambria" w:cs="Times New Roman"/>
          <w:sz w:val="22"/>
          <w:lang w:val="en-US"/>
        </w:rPr>
        <w:fldChar w:fldCharType="end"/>
      </w:r>
      <w:r w:rsidRPr="00C5133C">
        <w:rPr>
          <w:rFonts w:ascii="Cambria" w:hAnsi="Cambria" w:cs="Times New Roman"/>
          <w:sz w:val="22"/>
          <w:lang w:val="en-US"/>
        </w:rPr>
        <w:t xml:space="preserve"> </w:t>
      </w:r>
      <w:r w:rsidRPr="00C5133C">
        <w:rPr>
          <w:rFonts w:ascii="Cambria" w:hAnsi="Cambria" w:cs="Times New Roman"/>
          <w:sz w:val="22"/>
        </w:rPr>
        <w:t>dengan formula sebagai berikut:</w:t>
      </w:r>
    </w:p>
    <w:p w14:paraId="33F10397" w14:textId="77777777" w:rsidR="001C68B4" w:rsidRDefault="001C68B4" w:rsidP="00C5133C">
      <w:pPr>
        <w:spacing w:line="276" w:lineRule="auto"/>
        <w:rPr>
          <w:rFonts w:ascii="Cambria" w:hAnsi="Cambria" w:cs="Times New Roman"/>
          <w:sz w:val="22"/>
        </w:rPr>
      </w:pPr>
    </w:p>
    <w:p w14:paraId="3CE9A83C" w14:textId="402399F0" w:rsidR="001C68B4" w:rsidRPr="001C68B4" w:rsidRDefault="001C68B4" w:rsidP="00C5133C">
      <w:pPr>
        <w:spacing w:line="276" w:lineRule="auto"/>
        <w:rPr>
          <w:rFonts w:ascii="Cambria" w:eastAsiaTheme="minorEastAsia" w:hAnsi="Cambria" w:cs="Times New Roman"/>
          <w:b/>
          <w:bCs/>
          <w:sz w:val="22"/>
        </w:rPr>
      </w:pPr>
      <m:oMathPara>
        <m:oMath>
          <m:r>
            <m:rPr>
              <m:sty m:val="bi"/>
            </m:rPr>
            <w:rPr>
              <w:rFonts w:ascii="Cambria Math" w:hAnsi="Cambria Math" w:cs="Times New Roman"/>
              <w:sz w:val="22"/>
            </w:rPr>
            <m:t xml:space="preserve">Leverage= </m:t>
          </m:r>
          <m:f>
            <m:fPr>
              <m:ctrlPr>
                <w:rPr>
                  <w:rFonts w:ascii="Cambria Math" w:hAnsi="Cambria Math" w:cs="Times New Roman"/>
                  <w:b/>
                  <w:bCs/>
                  <w:i/>
                  <w:sz w:val="22"/>
                </w:rPr>
              </m:ctrlPr>
            </m:fPr>
            <m:num>
              <m:r>
                <m:rPr>
                  <m:sty m:val="bi"/>
                </m:rPr>
                <w:rPr>
                  <w:rFonts w:ascii="Cambria Math" w:hAnsi="Cambria Math" w:cs="Times New Roman"/>
                  <w:sz w:val="22"/>
                </w:rPr>
                <m:t>Total Utang</m:t>
              </m:r>
            </m:num>
            <m:den>
              <m:r>
                <m:rPr>
                  <m:sty m:val="bi"/>
                </m:rPr>
                <w:rPr>
                  <w:rFonts w:ascii="Cambria Math" w:hAnsi="Cambria Math" w:cs="Times New Roman"/>
                  <w:sz w:val="22"/>
                </w:rPr>
                <m:t>Total Aset</m:t>
              </m:r>
            </m:den>
          </m:f>
        </m:oMath>
      </m:oMathPara>
    </w:p>
    <w:p w14:paraId="30D55D1C" w14:textId="77777777" w:rsidR="001C68B4" w:rsidRPr="001C68B4" w:rsidRDefault="001C68B4" w:rsidP="00C5133C">
      <w:pPr>
        <w:spacing w:line="276" w:lineRule="auto"/>
        <w:rPr>
          <w:rFonts w:ascii="Cambria" w:hAnsi="Cambria" w:cs="Times New Roman"/>
          <w:b/>
          <w:bCs/>
          <w:sz w:val="22"/>
        </w:rPr>
      </w:pPr>
    </w:p>
    <w:p w14:paraId="3B8A377A" w14:textId="40E45336" w:rsidR="00177C2A" w:rsidRPr="00C5133C" w:rsidRDefault="00E24E8A" w:rsidP="001C68B4">
      <w:pPr>
        <w:spacing w:after="200" w:line="276" w:lineRule="auto"/>
        <w:ind w:firstLine="0"/>
        <w:rPr>
          <w:rFonts w:ascii="Cambria" w:hAnsi="Cambria"/>
          <w:b/>
          <w:bCs/>
          <w:sz w:val="22"/>
        </w:rPr>
      </w:pPr>
      <w:r w:rsidRPr="00C5133C">
        <w:rPr>
          <w:rFonts w:ascii="Cambria" w:hAnsi="Cambria" w:cs="Times New Roman"/>
          <w:b/>
          <w:bCs/>
          <w:sz w:val="22"/>
          <w:lang w:val="en-US"/>
        </w:rPr>
        <w:t>Ker</w:t>
      </w:r>
      <w:bookmarkStart w:id="6" w:name="_Toc84232410"/>
      <w:r w:rsidRPr="00C5133C">
        <w:rPr>
          <w:rFonts w:ascii="Cambria" w:hAnsi="Cambria"/>
          <w:b/>
          <w:bCs/>
          <w:sz w:val="22"/>
          <w:lang w:val="en-US"/>
        </w:rPr>
        <w:t xml:space="preserve">angka </w:t>
      </w:r>
      <w:r w:rsidRPr="00C5133C">
        <w:rPr>
          <w:rFonts w:ascii="Cambria" w:hAnsi="Cambria"/>
          <w:b/>
          <w:bCs/>
          <w:sz w:val="22"/>
        </w:rPr>
        <w:t>Penelitian</w:t>
      </w:r>
    </w:p>
    <w:p w14:paraId="6251D7B1" w14:textId="77777777" w:rsidR="00177C2A" w:rsidRPr="00C5133C" w:rsidRDefault="00E24E8A" w:rsidP="00C5133C">
      <w:pPr>
        <w:spacing w:line="276" w:lineRule="auto"/>
        <w:ind w:firstLine="0"/>
        <w:rPr>
          <w:rFonts w:ascii="Cambria" w:hAnsi="Cambria" w:cs="Times New Roman"/>
          <w:sz w:val="22"/>
          <w:lang w:val="en-US"/>
        </w:rPr>
      </w:pPr>
      <w:r w:rsidRPr="00C5133C">
        <w:rPr>
          <w:rFonts w:ascii="Cambria" w:hAnsi="Cambria" w:cs="Times New Roman"/>
          <w:sz w:val="22"/>
          <w:lang w:val="en-US"/>
        </w:rPr>
        <w:t xml:space="preserve">Penelitian dilakukan dengan tujuan untuk meneliti bagaimana pengaruh manajemen laba akrual dan manajemen laba melalui aktivitas </w:t>
      </w:r>
      <w:r w:rsidRPr="00C5133C">
        <w:rPr>
          <w:rFonts w:ascii="Cambria" w:hAnsi="Cambria" w:cs="Times New Roman"/>
          <w:i/>
          <w:sz w:val="22"/>
          <w:lang w:val="en-US"/>
        </w:rPr>
        <w:t xml:space="preserve">real </w:t>
      </w:r>
      <w:r w:rsidRPr="00C5133C">
        <w:rPr>
          <w:rFonts w:ascii="Cambria" w:hAnsi="Cambria" w:cs="Times New Roman"/>
          <w:sz w:val="22"/>
          <w:lang w:val="en-US"/>
        </w:rPr>
        <w:t xml:space="preserve">dan </w:t>
      </w:r>
      <w:r w:rsidRPr="00C5133C">
        <w:rPr>
          <w:rFonts w:ascii="Cambria" w:hAnsi="Cambria" w:cs="Times New Roman"/>
          <w:i/>
          <w:sz w:val="22"/>
          <w:lang w:val="en-US"/>
        </w:rPr>
        <w:t>transfer pricing</w:t>
      </w:r>
      <w:r w:rsidRPr="00C5133C">
        <w:rPr>
          <w:rFonts w:ascii="Cambria" w:hAnsi="Cambria" w:cs="Times New Roman"/>
          <w:sz w:val="22"/>
          <w:lang w:val="en-US"/>
        </w:rPr>
        <w:t xml:space="preserve"> terhadap penghindaran pajak. Penelitian ini menggunakan variabel dependen berupa penghindaran pajak dan variabel independen yang digunakan adalah manajemen laba akrual, manajemen laba melalui aktivitas </w:t>
      </w:r>
      <w:r w:rsidRPr="00C5133C">
        <w:rPr>
          <w:rFonts w:ascii="Cambria" w:hAnsi="Cambria" w:cs="Times New Roman"/>
          <w:i/>
          <w:sz w:val="22"/>
          <w:lang w:val="en-US"/>
        </w:rPr>
        <w:t>real</w:t>
      </w:r>
      <w:r w:rsidRPr="00C5133C">
        <w:rPr>
          <w:rFonts w:ascii="Cambria" w:hAnsi="Cambria" w:cs="Times New Roman"/>
          <w:sz w:val="22"/>
          <w:lang w:val="en-US"/>
        </w:rPr>
        <w:t xml:space="preserve">, dan </w:t>
      </w:r>
      <w:r w:rsidRPr="00C5133C">
        <w:rPr>
          <w:rFonts w:ascii="Cambria" w:hAnsi="Cambria" w:cs="Times New Roman"/>
          <w:i/>
          <w:sz w:val="22"/>
          <w:lang w:val="en-US"/>
        </w:rPr>
        <w:t>transfer pricing</w:t>
      </w:r>
      <w:r w:rsidRPr="00C5133C">
        <w:rPr>
          <w:rFonts w:ascii="Cambria" w:hAnsi="Cambria" w:cs="Times New Roman"/>
          <w:sz w:val="22"/>
          <w:lang w:val="en-US"/>
        </w:rPr>
        <w:t xml:space="preserve">. Penelitian akan menggunakan dua variabel kontrol berupa Ukuran </w:t>
      </w:r>
      <w:r w:rsidRPr="00C5133C">
        <w:rPr>
          <w:rFonts w:ascii="Cambria" w:hAnsi="Cambria" w:cs="Times New Roman"/>
          <w:sz w:val="22"/>
          <w:lang w:val="en-US"/>
        </w:rPr>
        <w:lastRenderedPageBreak/>
        <w:t xml:space="preserve">Perusahaan dan </w:t>
      </w:r>
      <w:r w:rsidRPr="00C5133C">
        <w:rPr>
          <w:rFonts w:ascii="Cambria" w:hAnsi="Cambria" w:cs="Times New Roman"/>
          <w:i/>
          <w:sz w:val="22"/>
          <w:lang w:val="en-US"/>
        </w:rPr>
        <w:t>Leverage</w:t>
      </w:r>
      <w:r w:rsidRPr="00C5133C">
        <w:rPr>
          <w:rFonts w:ascii="Cambria" w:hAnsi="Cambria" w:cs="Times New Roman"/>
          <w:sz w:val="22"/>
          <w:lang w:val="en-US"/>
        </w:rPr>
        <w:t>. Secara singkat, kerangka pemikiran yang digunakan dalam penelitian disajikan dalam gambar berikut:</w:t>
      </w:r>
    </w:p>
    <w:p w14:paraId="6A5BBFB3" w14:textId="77777777" w:rsidR="00E24E8A" w:rsidRPr="00C5133C" w:rsidRDefault="00E24E8A" w:rsidP="00C5133C">
      <w:pPr>
        <w:spacing w:line="276" w:lineRule="auto"/>
        <w:ind w:firstLine="0"/>
        <w:jc w:val="center"/>
        <w:rPr>
          <w:rFonts w:ascii="Cambria" w:hAnsi="Cambria"/>
          <w:sz w:val="22"/>
          <w:lang w:val="en-US"/>
        </w:rPr>
      </w:pPr>
      <w:r w:rsidRPr="00C5133C">
        <w:rPr>
          <w:rFonts w:ascii="Cambria" w:hAnsi="Cambria"/>
          <w:noProof/>
          <w:sz w:val="22"/>
          <w:lang w:val="en-US"/>
        </w:rPr>
        <w:drawing>
          <wp:inline distT="0" distB="0" distL="0" distR="0" wp14:anchorId="1251785C" wp14:editId="04C448D4">
            <wp:extent cx="5038725" cy="2584450"/>
            <wp:effectExtent l="19050" t="19050" r="28575" b="2540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8725" cy="2584450"/>
                    </a:xfrm>
                    <a:prstGeom prst="rect">
                      <a:avLst/>
                    </a:prstGeom>
                    <a:noFill/>
                    <a:ln>
                      <a:solidFill>
                        <a:schemeClr val="tx1"/>
                      </a:solidFill>
                    </a:ln>
                  </pic:spPr>
                </pic:pic>
              </a:graphicData>
            </a:graphic>
          </wp:inline>
        </w:drawing>
      </w:r>
    </w:p>
    <w:p w14:paraId="4211739E" w14:textId="06464186" w:rsidR="001C68B4" w:rsidRDefault="001C68B4" w:rsidP="00C5133C">
      <w:pPr>
        <w:spacing w:line="276" w:lineRule="auto"/>
        <w:ind w:firstLine="0"/>
        <w:jc w:val="center"/>
        <w:rPr>
          <w:rFonts w:ascii="Cambria" w:hAnsi="Cambria"/>
          <w:sz w:val="22"/>
        </w:rPr>
      </w:pPr>
      <w:r w:rsidRPr="00C5133C">
        <w:rPr>
          <w:rFonts w:ascii="Cambria" w:hAnsi="Cambria"/>
          <w:b/>
          <w:bCs/>
          <w:sz w:val="22"/>
          <w:lang w:val="en-US"/>
        </w:rPr>
        <w:t>Gambar 1</w:t>
      </w:r>
      <w:r>
        <w:rPr>
          <w:rFonts w:ascii="Cambria" w:hAnsi="Cambria"/>
          <w:b/>
          <w:bCs/>
          <w:sz w:val="22"/>
          <w:lang w:val="en-US"/>
        </w:rPr>
        <w:t>.</w:t>
      </w:r>
      <w:r w:rsidRPr="00C5133C">
        <w:rPr>
          <w:rFonts w:ascii="Cambria" w:hAnsi="Cambria"/>
          <w:b/>
          <w:bCs/>
          <w:sz w:val="22"/>
          <w:lang w:val="en-US"/>
        </w:rPr>
        <w:t xml:space="preserve"> Kerangka Penelitian</w:t>
      </w:r>
    </w:p>
    <w:p w14:paraId="5CD61E53" w14:textId="547CBB26" w:rsidR="00E24E8A" w:rsidRDefault="00E24E8A" w:rsidP="00C5133C">
      <w:pPr>
        <w:spacing w:line="276" w:lineRule="auto"/>
        <w:ind w:firstLine="0"/>
        <w:jc w:val="center"/>
        <w:rPr>
          <w:rFonts w:ascii="Cambria" w:hAnsi="Cambria"/>
          <w:sz w:val="22"/>
        </w:rPr>
      </w:pPr>
      <w:proofErr w:type="gramStart"/>
      <w:r w:rsidRPr="00C5133C">
        <w:rPr>
          <w:rFonts w:ascii="Cambria" w:hAnsi="Cambria"/>
          <w:sz w:val="22"/>
        </w:rPr>
        <w:t>Sumber</w:t>
      </w:r>
      <w:r w:rsidR="001C68B4">
        <w:rPr>
          <w:rFonts w:ascii="Cambria" w:hAnsi="Cambria"/>
          <w:sz w:val="22"/>
        </w:rPr>
        <w:t xml:space="preserve"> </w:t>
      </w:r>
      <w:r w:rsidRPr="00C5133C">
        <w:rPr>
          <w:rFonts w:ascii="Cambria" w:hAnsi="Cambria"/>
          <w:sz w:val="22"/>
        </w:rPr>
        <w:t>:</w:t>
      </w:r>
      <w:proofErr w:type="gramEnd"/>
      <w:r w:rsidRPr="00C5133C">
        <w:rPr>
          <w:rFonts w:ascii="Cambria" w:hAnsi="Cambria"/>
          <w:sz w:val="22"/>
        </w:rPr>
        <w:t xml:space="preserve"> </w:t>
      </w:r>
      <w:r w:rsidR="001C68B4">
        <w:rPr>
          <w:rFonts w:ascii="Cambria" w:hAnsi="Cambria"/>
          <w:sz w:val="22"/>
        </w:rPr>
        <w:t>D</w:t>
      </w:r>
      <w:r w:rsidR="00177C2A" w:rsidRPr="00C5133C">
        <w:rPr>
          <w:rFonts w:ascii="Cambria" w:hAnsi="Cambria"/>
          <w:sz w:val="22"/>
        </w:rPr>
        <w:t>ata diolah</w:t>
      </w:r>
      <w:r w:rsidR="001C68B4">
        <w:rPr>
          <w:rFonts w:ascii="Cambria" w:hAnsi="Cambria"/>
          <w:sz w:val="22"/>
        </w:rPr>
        <w:t xml:space="preserve"> (2021)</w:t>
      </w:r>
    </w:p>
    <w:p w14:paraId="50247540" w14:textId="77777777" w:rsidR="001C68B4" w:rsidRPr="00C5133C" w:rsidRDefault="001C68B4" w:rsidP="00C5133C">
      <w:pPr>
        <w:spacing w:line="276" w:lineRule="auto"/>
        <w:ind w:firstLine="0"/>
        <w:jc w:val="center"/>
        <w:rPr>
          <w:rFonts w:ascii="Cambria" w:hAnsi="Cambria"/>
          <w:sz w:val="22"/>
        </w:rPr>
      </w:pPr>
    </w:p>
    <w:p w14:paraId="1D56505D" w14:textId="77777777" w:rsidR="00E24E8A" w:rsidRPr="00C5133C" w:rsidRDefault="00E24E8A" w:rsidP="001C68B4">
      <w:pPr>
        <w:pStyle w:val="Heading2"/>
        <w:spacing w:after="200" w:line="276" w:lineRule="auto"/>
        <w:rPr>
          <w:rFonts w:ascii="Cambria" w:hAnsi="Cambria"/>
          <w:sz w:val="22"/>
          <w:szCs w:val="22"/>
          <w:lang w:val="en-US"/>
        </w:rPr>
      </w:pPr>
      <w:r w:rsidRPr="00C5133C">
        <w:rPr>
          <w:rFonts w:ascii="Cambria" w:hAnsi="Cambria"/>
          <w:sz w:val="22"/>
          <w:szCs w:val="22"/>
        </w:rPr>
        <w:t>Hipotesis</w:t>
      </w:r>
      <w:r w:rsidRPr="00C5133C">
        <w:rPr>
          <w:rFonts w:ascii="Cambria" w:hAnsi="Cambria"/>
          <w:sz w:val="22"/>
          <w:szCs w:val="22"/>
          <w:lang w:val="en-US"/>
        </w:rPr>
        <w:t xml:space="preserve"> Penelitian</w:t>
      </w:r>
    </w:p>
    <w:p w14:paraId="1355BD14" w14:textId="39E19E82" w:rsidR="00E24E8A" w:rsidRDefault="00E24E8A" w:rsidP="001C68B4">
      <w:pPr>
        <w:spacing w:line="276" w:lineRule="auto"/>
        <w:rPr>
          <w:rFonts w:ascii="Cambria" w:hAnsi="Cambria"/>
          <w:sz w:val="22"/>
        </w:rPr>
      </w:pPr>
      <w:r w:rsidRPr="00C5133C">
        <w:rPr>
          <w:rFonts w:ascii="Cambria" w:hAnsi="Cambria"/>
          <w:sz w:val="22"/>
        </w:rPr>
        <w:t xml:space="preserve">Berlandaskan pada teori dan penelitian sebelumnya yang telah dijelaskan, hipotesis </w:t>
      </w:r>
      <w:r w:rsidR="00177C2A" w:rsidRPr="00C5133C">
        <w:rPr>
          <w:rFonts w:ascii="Cambria" w:hAnsi="Cambria"/>
          <w:sz w:val="22"/>
        </w:rPr>
        <w:t>yang</w:t>
      </w:r>
      <w:r w:rsidRPr="00C5133C">
        <w:rPr>
          <w:rFonts w:ascii="Cambria" w:hAnsi="Cambria"/>
          <w:sz w:val="22"/>
        </w:rPr>
        <w:t xml:space="preserve"> digunakan pada penelitian ini sebagai berikut:</w:t>
      </w:r>
    </w:p>
    <w:p w14:paraId="1F8AAB68" w14:textId="77777777" w:rsidR="001C68B4" w:rsidRPr="00C5133C" w:rsidRDefault="001C68B4" w:rsidP="001C68B4">
      <w:pPr>
        <w:spacing w:line="276" w:lineRule="auto"/>
        <w:rPr>
          <w:rFonts w:ascii="Cambria" w:hAnsi="Cambria"/>
          <w:sz w:val="22"/>
        </w:rPr>
      </w:pPr>
    </w:p>
    <w:p w14:paraId="5B437212" w14:textId="51E44538" w:rsidR="00E24E8A" w:rsidRPr="00254373" w:rsidRDefault="00E24E8A" w:rsidP="00254373">
      <w:pPr>
        <w:pStyle w:val="ListParagraph"/>
        <w:numPr>
          <w:ilvl w:val="0"/>
          <w:numId w:val="30"/>
        </w:numPr>
        <w:spacing w:line="276" w:lineRule="auto"/>
        <w:ind w:left="709" w:hanging="709"/>
        <w:rPr>
          <w:rFonts w:ascii="Cambria" w:hAnsi="Cambria"/>
          <w:b/>
          <w:sz w:val="22"/>
        </w:rPr>
      </w:pPr>
      <w:r w:rsidRPr="00254373">
        <w:rPr>
          <w:rFonts w:ascii="Cambria" w:hAnsi="Cambria"/>
          <w:b/>
          <w:sz w:val="22"/>
        </w:rPr>
        <w:t>Pengaruh manajemen laba akrual pada penghindaran pajak</w:t>
      </w:r>
    </w:p>
    <w:p w14:paraId="457BF328" w14:textId="77777777" w:rsidR="00E24E8A" w:rsidRPr="00C5133C" w:rsidRDefault="00E24E8A" w:rsidP="001C68B4">
      <w:pPr>
        <w:spacing w:line="276" w:lineRule="auto"/>
        <w:rPr>
          <w:rFonts w:ascii="Cambria" w:hAnsi="Cambria"/>
          <w:sz w:val="22"/>
        </w:rPr>
      </w:pPr>
      <w:r w:rsidRPr="00C5133C">
        <w:rPr>
          <w:rFonts w:ascii="Cambria" w:hAnsi="Cambria"/>
          <w:sz w:val="22"/>
        </w:rPr>
        <w:t xml:space="preserve">Salah satu faktor yang mendorong perusahaan melakukan manajemen laba adalah adanya beban </w:t>
      </w:r>
      <w:r w:rsidRPr="00BF13BD">
        <w:rPr>
          <w:rFonts w:ascii="Cambria" w:hAnsi="Cambria"/>
          <w:sz w:val="22"/>
        </w:rPr>
        <w:t xml:space="preserve">pajak </w:t>
      </w:r>
      <w:r w:rsidRPr="00BF13BD">
        <w:rPr>
          <w:rFonts w:ascii="Cambria" w:hAnsi="Cambria"/>
          <w:sz w:val="22"/>
        </w:rPr>
        <w:fldChar w:fldCharType="begin" w:fldLock="1"/>
      </w:r>
      <w:r w:rsidRPr="00BF13BD">
        <w:rPr>
          <w:rFonts w:ascii="Cambria" w:hAnsi="Cambria"/>
          <w:sz w:val="22"/>
        </w:rPr>
        <w:instrText>ADDIN CSL_CITATION {"citationItems":[{"id":"ITEM-1","itemData":{"author":[{"dropping-particle":"","family":"Keown","given":"Arthur J","non-dropping-particle":"","parse-names":false,"suffix":""},{"dropping-particle":"","family":"Petty","given":"William J","non-dropping-particle":"","parse-names":false,"suffix":""},{"dropping-particle":"","family":"Scott","given":"David F","non-dropping-particle":"","parse-names":false,"suffix":""},{"dropping-particle":"","family":"Martin Jr","given":"John D","non-dropping-particle":"","parse-names":false,"suffix":""}],"id":"ITEM-1","issued":{"date-parts":[["2005"]]},"publisher":"Penerbit Salemba Empat","title":"Dasar-Dasar Manajemen Keuangan","type":"book"},"uris":["http://www.mendeley.com/documents/?uuid=5130930e-9301-4e48-96a3-9cd8c6b38e0c"]}],"mendeley":{"formattedCitation":"(Keown et al., 2005)","plainTextFormattedCitation":"(Keown et al., 2005)","previouslyFormattedCitation":"(Keown et al., 2005)"},"properties":{"noteIndex":0},"schema":"https://github.com/citation-style-language/schema/raw/master/csl-citation.json"}</w:instrText>
      </w:r>
      <w:r w:rsidRPr="00BF13BD">
        <w:rPr>
          <w:rFonts w:ascii="Cambria" w:hAnsi="Cambria"/>
          <w:sz w:val="22"/>
        </w:rPr>
        <w:fldChar w:fldCharType="separate"/>
      </w:r>
      <w:r w:rsidRPr="00BF13BD">
        <w:rPr>
          <w:rFonts w:ascii="Cambria" w:hAnsi="Cambria"/>
          <w:noProof/>
          <w:sz w:val="22"/>
        </w:rPr>
        <w:t xml:space="preserve">(Keown </w:t>
      </w:r>
      <w:r w:rsidRPr="00BF13BD">
        <w:rPr>
          <w:rFonts w:ascii="Cambria" w:hAnsi="Cambria"/>
          <w:i/>
          <w:noProof/>
          <w:sz w:val="22"/>
        </w:rPr>
        <w:t>et al.</w:t>
      </w:r>
      <w:r w:rsidRPr="00BF13BD">
        <w:rPr>
          <w:rFonts w:ascii="Cambria" w:hAnsi="Cambria"/>
          <w:noProof/>
          <w:sz w:val="22"/>
        </w:rPr>
        <w:t>, 2005)</w:t>
      </w:r>
      <w:r w:rsidRPr="00BF13BD">
        <w:rPr>
          <w:rFonts w:ascii="Cambria" w:hAnsi="Cambria"/>
          <w:sz w:val="22"/>
        </w:rPr>
        <w:fldChar w:fldCharType="end"/>
      </w:r>
      <w:r w:rsidRPr="00BF13BD">
        <w:rPr>
          <w:rFonts w:ascii="Cambria" w:hAnsi="Cambria"/>
          <w:sz w:val="22"/>
        </w:rPr>
        <w:t>.</w:t>
      </w:r>
      <w:r w:rsidRPr="00C5133C">
        <w:rPr>
          <w:rFonts w:ascii="Cambria" w:hAnsi="Cambria"/>
          <w:sz w:val="22"/>
        </w:rPr>
        <w:t xml:space="preserve"> Manajemen laba akrual akan menyebabkan berkurangnya penghasilan kena pajak perusahaan yang berdampak pada berkurangnya jumlah pajak yang harus dibayar.</w:t>
      </w:r>
    </w:p>
    <w:p w14:paraId="3F2C1E79" w14:textId="21B2E6ED" w:rsidR="00E24E8A" w:rsidRPr="00C5133C" w:rsidRDefault="00E24E8A" w:rsidP="00254373">
      <w:pPr>
        <w:pStyle w:val="PARAGRAPH"/>
        <w:tabs>
          <w:tab w:val="left" w:pos="567"/>
        </w:tabs>
        <w:spacing w:line="276" w:lineRule="auto"/>
        <w:ind w:firstLine="0"/>
        <w:rPr>
          <w:rFonts w:ascii="Cambria" w:hAnsi="Cambria"/>
          <w:bCs/>
          <w:sz w:val="22"/>
          <w:szCs w:val="22"/>
        </w:rPr>
      </w:pPr>
      <w:r w:rsidRPr="001C68B4">
        <w:rPr>
          <w:rFonts w:ascii="Cambria" w:hAnsi="Cambria"/>
          <w:b/>
          <w:sz w:val="22"/>
          <w:szCs w:val="22"/>
        </w:rPr>
        <w:t>H</w:t>
      </w:r>
      <w:r w:rsidRPr="001C68B4">
        <w:rPr>
          <w:rFonts w:ascii="Cambria" w:hAnsi="Cambria"/>
          <w:b/>
          <w:sz w:val="22"/>
          <w:szCs w:val="22"/>
          <w:vertAlign w:val="subscript"/>
        </w:rPr>
        <w:t>1</w:t>
      </w:r>
      <w:r w:rsidR="001C68B4">
        <w:rPr>
          <w:rFonts w:ascii="Cambria" w:hAnsi="Cambria"/>
          <w:bCs/>
          <w:sz w:val="22"/>
          <w:szCs w:val="22"/>
          <w:vertAlign w:val="subscript"/>
        </w:rPr>
        <w:tab/>
      </w:r>
      <w:r w:rsidRPr="00C5133C">
        <w:rPr>
          <w:rFonts w:ascii="Cambria" w:hAnsi="Cambria"/>
          <w:bCs/>
          <w:sz w:val="22"/>
          <w:szCs w:val="22"/>
        </w:rPr>
        <w:t>= Manajemen laba akrual berpengaruh positif signifikan terhadap penghindaran pajak.</w:t>
      </w:r>
    </w:p>
    <w:p w14:paraId="4B3CFA39" w14:textId="77777777" w:rsidR="001C68B4" w:rsidRDefault="001C68B4" w:rsidP="001C68B4">
      <w:pPr>
        <w:pStyle w:val="PARAGRAPH"/>
        <w:spacing w:line="276" w:lineRule="auto"/>
        <w:ind w:firstLine="0"/>
        <w:rPr>
          <w:rFonts w:ascii="Cambria" w:hAnsi="Cambria"/>
          <w:bCs/>
          <w:sz w:val="22"/>
          <w:szCs w:val="22"/>
        </w:rPr>
      </w:pPr>
    </w:p>
    <w:p w14:paraId="1A99D2BD" w14:textId="3CC97E37" w:rsidR="00E24E8A" w:rsidRPr="00254373" w:rsidRDefault="00E24E8A" w:rsidP="00254373">
      <w:pPr>
        <w:pStyle w:val="PARAGRAPH"/>
        <w:numPr>
          <w:ilvl w:val="0"/>
          <w:numId w:val="30"/>
        </w:numPr>
        <w:spacing w:line="276" w:lineRule="auto"/>
        <w:ind w:left="709" w:hanging="709"/>
        <w:rPr>
          <w:rFonts w:ascii="Cambria" w:hAnsi="Cambria"/>
          <w:b/>
          <w:sz w:val="22"/>
          <w:szCs w:val="22"/>
        </w:rPr>
      </w:pPr>
      <w:r w:rsidRPr="00254373">
        <w:rPr>
          <w:rFonts w:ascii="Cambria" w:hAnsi="Cambria"/>
          <w:b/>
          <w:sz w:val="22"/>
          <w:szCs w:val="22"/>
        </w:rPr>
        <w:t xml:space="preserve">Pengaruh manajemen laba melalui aktivitas </w:t>
      </w:r>
      <w:r w:rsidRPr="00254373">
        <w:rPr>
          <w:rFonts w:ascii="Cambria" w:hAnsi="Cambria"/>
          <w:b/>
          <w:i/>
          <w:sz w:val="22"/>
          <w:szCs w:val="22"/>
        </w:rPr>
        <w:t>real</w:t>
      </w:r>
      <w:r w:rsidRPr="00254373">
        <w:rPr>
          <w:rFonts w:ascii="Cambria" w:hAnsi="Cambria"/>
          <w:b/>
          <w:sz w:val="22"/>
          <w:szCs w:val="22"/>
        </w:rPr>
        <w:t xml:space="preserve"> pada penghindaran pajak</w:t>
      </w:r>
    </w:p>
    <w:p w14:paraId="1A365AC7" w14:textId="77777777" w:rsidR="00E24E8A" w:rsidRPr="00C5133C" w:rsidRDefault="00E24E8A" w:rsidP="001C68B4">
      <w:pPr>
        <w:spacing w:line="276" w:lineRule="auto"/>
        <w:rPr>
          <w:rFonts w:ascii="Cambria" w:hAnsi="Cambria"/>
          <w:sz w:val="22"/>
        </w:rPr>
      </w:pPr>
      <w:r w:rsidRPr="00C5133C">
        <w:rPr>
          <w:rFonts w:ascii="Cambria" w:hAnsi="Cambria"/>
          <w:sz w:val="22"/>
        </w:rPr>
        <w:t>Manajemen laba melalui aktivitas riil menjadi salah satu alternatif yang dapat digunakan perusahaan untuk mengurangi jumlah pajak terutang dengan menurunkan jumlah penghasilan kena pajak.</w:t>
      </w:r>
    </w:p>
    <w:p w14:paraId="32454E06" w14:textId="51E76164" w:rsidR="00E24E8A" w:rsidRPr="00254373" w:rsidRDefault="00E24E8A" w:rsidP="00254373">
      <w:pPr>
        <w:pStyle w:val="PARAGRAPH"/>
        <w:tabs>
          <w:tab w:val="left" w:pos="567"/>
        </w:tabs>
        <w:spacing w:line="276" w:lineRule="auto"/>
        <w:ind w:left="851" w:hanging="851"/>
        <w:rPr>
          <w:rFonts w:ascii="Cambria" w:hAnsi="Cambria"/>
          <w:bCs/>
          <w:sz w:val="22"/>
          <w:szCs w:val="22"/>
          <w:lang w:val="en-US"/>
        </w:rPr>
      </w:pPr>
      <w:r w:rsidRPr="00254373">
        <w:rPr>
          <w:rFonts w:ascii="Cambria" w:hAnsi="Cambria"/>
          <w:b/>
          <w:sz w:val="22"/>
          <w:szCs w:val="22"/>
        </w:rPr>
        <w:t>H</w:t>
      </w:r>
      <w:r w:rsidRPr="00254373">
        <w:rPr>
          <w:rFonts w:ascii="Cambria" w:hAnsi="Cambria"/>
          <w:b/>
          <w:sz w:val="22"/>
          <w:szCs w:val="22"/>
          <w:vertAlign w:val="subscript"/>
        </w:rPr>
        <w:t>2a</w:t>
      </w:r>
      <w:r w:rsidR="00254373">
        <w:rPr>
          <w:rFonts w:ascii="Cambria" w:hAnsi="Cambria"/>
          <w:bCs/>
          <w:sz w:val="22"/>
          <w:szCs w:val="22"/>
          <w:vertAlign w:val="subscript"/>
          <w:lang w:val="en-US"/>
        </w:rPr>
        <w:tab/>
      </w:r>
      <w:r w:rsidRPr="00C5133C">
        <w:rPr>
          <w:rFonts w:ascii="Cambria" w:hAnsi="Cambria"/>
          <w:bCs/>
          <w:sz w:val="22"/>
          <w:szCs w:val="22"/>
        </w:rPr>
        <w:t xml:space="preserve">= </w:t>
      </w:r>
      <w:r w:rsidR="00254373">
        <w:rPr>
          <w:rFonts w:ascii="Cambria" w:hAnsi="Cambria"/>
          <w:bCs/>
          <w:sz w:val="22"/>
          <w:szCs w:val="22"/>
          <w:lang w:val="en-US"/>
        </w:rPr>
        <w:t xml:space="preserve"> </w:t>
      </w:r>
      <w:r w:rsidRPr="00C5133C">
        <w:rPr>
          <w:rFonts w:ascii="Cambria" w:hAnsi="Cambria"/>
          <w:bCs/>
          <w:sz w:val="22"/>
          <w:szCs w:val="22"/>
        </w:rPr>
        <w:t xml:space="preserve">Manajemen laba </w:t>
      </w:r>
      <w:r w:rsidRPr="00C5133C">
        <w:rPr>
          <w:rFonts w:ascii="Cambria" w:hAnsi="Cambria"/>
          <w:bCs/>
          <w:i/>
          <w:sz w:val="22"/>
          <w:szCs w:val="22"/>
        </w:rPr>
        <w:t>real</w:t>
      </w:r>
      <w:r w:rsidRPr="00C5133C">
        <w:rPr>
          <w:rFonts w:ascii="Cambria" w:hAnsi="Cambria"/>
          <w:bCs/>
          <w:sz w:val="22"/>
          <w:szCs w:val="22"/>
        </w:rPr>
        <w:t xml:space="preserve"> arus kas berpengaruh positif signifikan terhadap penghindaran </w:t>
      </w:r>
      <w:r w:rsidR="00254373">
        <w:rPr>
          <w:rFonts w:ascii="Cambria" w:hAnsi="Cambria"/>
          <w:bCs/>
          <w:sz w:val="22"/>
          <w:szCs w:val="22"/>
          <w:lang w:val="en-US"/>
        </w:rPr>
        <w:t xml:space="preserve"> </w:t>
      </w:r>
      <w:r w:rsidRPr="00C5133C">
        <w:rPr>
          <w:rFonts w:ascii="Cambria" w:hAnsi="Cambria"/>
          <w:bCs/>
          <w:sz w:val="22"/>
          <w:szCs w:val="22"/>
        </w:rPr>
        <w:t>pajak</w:t>
      </w:r>
      <w:r w:rsidR="00254373">
        <w:rPr>
          <w:rFonts w:ascii="Cambria" w:hAnsi="Cambria"/>
          <w:bCs/>
          <w:sz w:val="22"/>
          <w:szCs w:val="22"/>
          <w:lang w:val="en-US"/>
        </w:rPr>
        <w:t>.</w:t>
      </w:r>
    </w:p>
    <w:p w14:paraId="27CF0BD5" w14:textId="349024B4" w:rsidR="00E24E8A" w:rsidRPr="00254373" w:rsidRDefault="00E24E8A" w:rsidP="00254373">
      <w:pPr>
        <w:pStyle w:val="PARAGRAPH"/>
        <w:tabs>
          <w:tab w:val="left" w:pos="567"/>
        </w:tabs>
        <w:spacing w:line="276" w:lineRule="auto"/>
        <w:ind w:left="851" w:hanging="851"/>
        <w:rPr>
          <w:rFonts w:ascii="Cambria" w:hAnsi="Cambria"/>
          <w:bCs/>
          <w:sz w:val="22"/>
          <w:szCs w:val="22"/>
          <w:lang w:val="en-US"/>
        </w:rPr>
      </w:pPr>
      <w:r w:rsidRPr="00254373">
        <w:rPr>
          <w:rFonts w:ascii="Cambria" w:hAnsi="Cambria"/>
          <w:b/>
          <w:sz w:val="22"/>
          <w:szCs w:val="22"/>
        </w:rPr>
        <w:t>H</w:t>
      </w:r>
      <w:r w:rsidRPr="00254373">
        <w:rPr>
          <w:rFonts w:ascii="Cambria" w:hAnsi="Cambria"/>
          <w:b/>
          <w:sz w:val="22"/>
          <w:szCs w:val="22"/>
          <w:vertAlign w:val="subscript"/>
        </w:rPr>
        <w:t>2b</w:t>
      </w:r>
      <w:r w:rsidR="00254373">
        <w:rPr>
          <w:rFonts w:ascii="Cambria" w:hAnsi="Cambria"/>
          <w:bCs/>
          <w:sz w:val="22"/>
          <w:szCs w:val="22"/>
          <w:vertAlign w:val="subscript"/>
        </w:rPr>
        <w:tab/>
      </w:r>
      <w:r w:rsidRPr="00C5133C">
        <w:rPr>
          <w:rFonts w:ascii="Cambria" w:hAnsi="Cambria"/>
          <w:bCs/>
          <w:sz w:val="22"/>
          <w:szCs w:val="22"/>
        </w:rPr>
        <w:t xml:space="preserve">= Manajemen laba </w:t>
      </w:r>
      <w:r w:rsidRPr="00C5133C">
        <w:rPr>
          <w:rFonts w:ascii="Cambria" w:hAnsi="Cambria"/>
          <w:bCs/>
          <w:i/>
          <w:sz w:val="22"/>
          <w:szCs w:val="22"/>
        </w:rPr>
        <w:t>real</w:t>
      </w:r>
      <w:r w:rsidRPr="00C5133C">
        <w:rPr>
          <w:rFonts w:ascii="Cambria" w:hAnsi="Cambria"/>
          <w:bCs/>
          <w:sz w:val="22"/>
          <w:szCs w:val="22"/>
        </w:rPr>
        <w:t xml:space="preserve"> aktivitas produksi berpengaruh positif signifikan terhadap penghindaran pajak</w:t>
      </w:r>
      <w:r w:rsidR="00254373">
        <w:rPr>
          <w:rFonts w:ascii="Cambria" w:hAnsi="Cambria"/>
          <w:bCs/>
          <w:sz w:val="22"/>
          <w:szCs w:val="22"/>
          <w:lang w:val="en-US"/>
        </w:rPr>
        <w:t>.</w:t>
      </w:r>
    </w:p>
    <w:p w14:paraId="4D05A113" w14:textId="18DCCC09" w:rsidR="00E24E8A" w:rsidRPr="00254373" w:rsidRDefault="00E24E8A" w:rsidP="00254373">
      <w:pPr>
        <w:pStyle w:val="PARAGRAPH"/>
        <w:tabs>
          <w:tab w:val="left" w:pos="567"/>
        </w:tabs>
        <w:spacing w:line="276" w:lineRule="auto"/>
        <w:ind w:left="851" w:hanging="851"/>
        <w:rPr>
          <w:rFonts w:ascii="Cambria" w:hAnsi="Cambria"/>
          <w:bCs/>
          <w:sz w:val="22"/>
          <w:szCs w:val="22"/>
          <w:lang w:val="en-US"/>
        </w:rPr>
      </w:pPr>
      <w:r w:rsidRPr="00254373">
        <w:rPr>
          <w:rFonts w:ascii="Cambria" w:hAnsi="Cambria"/>
          <w:b/>
          <w:sz w:val="22"/>
          <w:szCs w:val="22"/>
        </w:rPr>
        <w:t>H</w:t>
      </w:r>
      <w:r w:rsidRPr="00254373">
        <w:rPr>
          <w:rFonts w:ascii="Cambria" w:hAnsi="Cambria"/>
          <w:b/>
          <w:sz w:val="22"/>
          <w:szCs w:val="22"/>
          <w:vertAlign w:val="subscript"/>
        </w:rPr>
        <w:t>2c</w:t>
      </w:r>
      <w:r w:rsidR="00254373">
        <w:rPr>
          <w:rFonts w:ascii="Cambria" w:hAnsi="Cambria"/>
          <w:bCs/>
          <w:sz w:val="22"/>
          <w:szCs w:val="22"/>
          <w:vertAlign w:val="subscript"/>
        </w:rPr>
        <w:tab/>
      </w:r>
      <w:r w:rsidRPr="00C5133C">
        <w:rPr>
          <w:rFonts w:ascii="Cambria" w:hAnsi="Cambria"/>
          <w:bCs/>
          <w:sz w:val="22"/>
          <w:szCs w:val="22"/>
        </w:rPr>
        <w:t xml:space="preserve">= Manajemen laba </w:t>
      </w:r>
      <w:r w:rsidRPr="00C5133C">
        <w:rPr>
          <w:rFonts w:ascii="Cambria" w:hAnsi="Cambria"/>
          <w:bCs/>
          <w:i/>
          <w:sz w:val="22"/>
          <w:szCs w:val="22"/>
        </w:rPr>
        <w:t>real</w:t>
      </w:r>
      <w:r w:rsidRPr="00C5133C">
        <w:rPr>
          <w:rFonts w:ascii="Cambria" w:hAnsi="Cambria"/>
          <w:bCs/>
          <w:sz w:val="22"/>
          <w:szCs w:val="22"/>
        </w:rPr>
        <w:t xml:space="preserve"> beban diskresioner berpengaruh positif signifikan terhadap penghindaran pajak</w:t>
      </w:r>
      <w:r w:rsidR="00254373">
        <w:rPr>
          <w:rFonts w:ascii="Cambria" w:hAnsi="Cambria"/>
          <w:bCs/>
          <w:sz w:val="22"/>
          <w:szCs w:val="22"/>
          <w:lang w:val="en-US"/>
        </w:rPr>
        <w:t>.</w:t>
      </w:r>
    </w:p>
    <w:p w14:paraId="720871D4" w14:textId="77777777" w:rsidR="00254373" w:rsidRPr="00C5133C" w:rsidRDefault="00254373" w:rsidP="00254373">
      <w:pPr>
        <w:pStyle w:val="PARAGRAPH"/>
        <w:tabs>
          <w:tab w:val="left" w:pos="567"/>
        </w:tabs>
        <w:spacing w:line="276" w:lineRule="auto"/>
        <w:ind w:left="851" w:hanging="851"/>
        <w:rPr>
          <w:rFonts w:ascii="Cambria" w:hAnsi="Cambria"/>
          <w:bCs/>
          <w:sz w:val="22"/>
          <w:szCs w:val="22"/>
        </w:rPr>
      </w:pPr>
    </w:p>
    <w:p w14:paraId="6C0146AB" w14:textId="00E83EF0" w:rsidR="00E24E8A" w:rsidRPr="00254373" w:rsidRDefault="00E24E8A" w:rsidP="00254373">
      <w:pPr>
        <w:pStyle w:val="PARAGRAPH"/>
        <w:numPr>
          <w:ilvl w:val="0"/>
          <w:numId w:val="30"/>
        </w:numPr>
        <w:spacing w:line="276" w:lineRule="auto"/>
        <w:ind w:left="709" w:hanging="709"/>
        <w:rPr>
          <w:rFonts w:ascii="Cambria" w:hAnsi="Cambria"/>
          <w:b/>
          <w:sz w:val="22"/>
          <w:szCs w:val="22"/>
        </w:rPr>
      </w:pPr>
      <w:r w:rsidRPr="00254373">
        <w:rPr>
          <w:rFonts w:ascii="Cambria" w:hAnsi="Cambria"/>
          <w:b/>
          <w:sz w:val="22"/>
          <w:szCs w:val="22"/>
        </w:rPr>
        <w:t xml:space="preserve">Pengaruh </w:t>
      </w:r>
      <w:r w:rsidRPr="00254373">
        <w:rPr>
          <w:rFonts w:ascii="Cambria" w:hAnsi="Cambria"/>
          <w:b/>
          <w:i/>
          <w:sz w:val="22"/>
          <w:szCs w:val="22"/>
        </w:rPr>
        <w:t>transfer pricing</w:t>
      </w:r>
      <w:r w:rsidRPr="00254373">
        <w:rPr>
          <w:rFonts w:ascii="Cambria" w:hAnsi="Cambria"/>
          <w:b/>
          <w:sz w:val="22"/>
          <w:szCs w:val="22"/>
        </w:rPr>
        <w:t xml:space="preserve"> pada penghindaran pajak</w:t>
      </w:r>
    </w:p>
    <w:p w14:paraId="0800F620" w14:textId="77777777" w:rsidR="00E24E8A" w:rsidRPr="00C5133C" w:rsidRDefault="00E24E8A" w:rsidP="001C68B4">
      <w:pPr>
        <w:spacing w:line="276" w:lineRule="auto"/>
        <w:rPr>
          <w:rFonts w:ascii="Cambria" w:hAnsi="Cambria" w:cs="Times New Roman"/>
          <w:sz w:val="22"/>
          <w:lang w:val="en-US"/>
        </w:rPr>
      </w:pPr>
      <w:r w:rsidRPr="00C5133C">
        <w:rPr>
          <w:rFonts w:ascii="Cambria" w:hAnsi="Cambria" w:cs="Times New Roman"/>
          <w:sz w:val="22"/>
          <w:lang w:val="en-US"/>
        </w:rPr>
        <w:t xml:space="preserve">Selain menggunakan praktik manajemen laba, perusahaan dapat menggunakan </w:t>
      </w:r>
      <w:r w:rsidRPr="00C5133C">
        <w:rPr>
          <w:rFonts w:ascii="Cambria" w:hAnsi="Cambria" w:cs="Times New Roman"/>
          <w:i/>
          <w:sz w:val="22"/>
          <w:lang w:val="en-US"/>
        </w:rPr>
        <w:t>transfer pricing</w:t>
      </w:r>
      <w:r w:rsidRPr="00C5133C">
        <w:rPr>
          <w:rFonts w:ascii="Cambria" w:hAnsi="Cambria" w:cs="Times New Roman"/>
          <w:sz w:val="22"/>
          <w:lang w:val="en-US"/>
        </w:rPr>
        <w:t xml:space="preserve"> untuk menghindari pajak.</w:t>
      </w:r>
    </w:p>
    <w:p w14:paraId="27EEE199" w14:textId="2AE3E21E" w:rsidR="00E24E8A" w:rsidRPr="00C5133C" w:rsidRDefault="00E24E8A" w:rsidP="00254373">
      <w:pPr>
        <w:pStyle w:val="PARAGRAPH"/>
        <w:tabs>
          <w:tab w:val="left" w:pos="567"/>
        </w:tabs>
        <w:spacing w:line="276" w:lineRule="auto"/>
        <w:ind w:firstLine="0"/>
        <w:rPr>
          <w:rFonts w:ascii="Cambria" w:hAnsi="Cambria"/>
          <w:bCs/>
          <w:sz w:val="22"/>
          <w:szCs w:val="22"/>
          <w:lang w:val="en-ID"/>
        </w:rPr>
      </w:pPr>
      <w:r w:rsidRPr="00254373">
        <w:rPr>
          <w:rFonts w:ascii="Cambria" w:hAnsi="Cambria"/>
          <w:b/>
          <w:sz w:val="22"/>
          <w:szCs w:val="22"/>
        </w:rPr>
        <w:t>H</w:t>
      </w:r>
      <w:r w:rsidRPr="00254373">
        <w:rPr>
          <w:rFonts w:ascii="Cambria" w:hAnsi="Cambria"/>
          <w:b/>
          <w:sz w:val="22"/>
          <w:szCs w:val="22"/>
          <w:vertAlign w:val="subscript"/>
        </w:rPr>
        <w:t>3</w:t>
      </w:r>
      <w:r w:rsidR="00254373">
        <w:rPr>
          <w:rFonts w:ascii="Cambria" w:hAnsi="Cambria"/>
          <w:bCs/>
          <w:sz w:val="22"/>
          <w:szCs w:val="22"/>
          <w:vertAlign w:val="subscript"/>
        </w:rPr>
        <w:tab/>
      </w:r>
      <w:r w:rsidRPr="00C5133C">
        <w:rPr>
          <w:rFonts w:ascii="Cambria" w:hAnsi="Cambria"/>
          <w:bCs/>
          <w:sz w:val="22"/>
          <w:szCs w:val="22"/>
        </w:rPr>
        <w:t xml:space="preserve">= </w:t>
      </w:r>
      <w:r w:rsidRPr="00254373">
        <w:rPr>
          <w:rFonts w:ascii="Cambria" w:hAnsi="Cambria"/>
          <w:bCs/>
          <w:i/>
          <w:iCs/>
          <w:sz w:val="22"/>
          <w:szCs w:val="22"/>
        </w:rPr>
        <w:t>Transfer pricing</w:t>
      </w:r>
      <w:r w:rsidRPr="00C5133C">
        <w:rPr>
          <w:rFonts w:ascii="Cambria" w:hAnsi="Cambria"/>
          <w:bCs/>
          <w:sz w:val="22"/>
          <w:szCs w:val="22"/>
        </w:rPr>
        <w:t xml:space="preserve"> berpengaruh positif signifikan terhadap penghindaran pajak</w:t>
      </w:r>
    </w:p>
    <w:bookmarkEnd w:id="6"/>
    <w:p w14:paraId="15035209" w14:textId="63068DF6" w:rsidR="00C374C8" w:rsidRPr="00C5133C" w:rsidRDefault="00C374C8" w:rsidP="00C5133C">
      <w:pPr>
        <w:spacing w:line="276" w:lineRule="auto"/>
        <w:ind w:firstLine="0"/>
        <w:rPr>
          <w:rFonts w:ascii="Cambria" w:hAnsi="Cambria" w:cs="Times New Roman"/>
          <w:b/>
          <w:sz w:val="22"/>
        </w:rPr>
      </w:pPr>
    </w:p>
    <w:p w14:paraId="3B6EE069" w14:textId="0D80F0CF" w:rsidR="00C374C8" w:rsidRPr="00C5133C" w:rsidRDefault="00C374C8" w:rsidP="00254373">
      <w:pPr>
        <w:pStyle w:val="Heading2"/>
        <w:spacing w:after="200" w:line="276" w:lineRule="auto"/>
        <w:rPr>
          <w:rFonts w:ascii="Cambria" w:hAnsi="Cambria"/>
          <w:sz w:val="22"/>
          <w:szCs w:val="22"/>
        </w:rPr>
      </w:pPr>
      <w:bookmarkStart w:id="7" w:name="_Toc84232414"/>
      <w:r w:rsidRPr="00C5133C">
        <w:rPr>
          <w:rFonts w:ascii="Cambria" w:hAnsi="Cambria"/>
          <w:sz w:val="22"/>
          <w:szCs w:val="22"/>
        </w:rPr>
        <w:lastRenderedPageBreak/>
        <w:t>Model Penelitian</w:t>
      </w:r>
      <w:bookmarkEnd w:id="7"/>
    </w:p>
    <w:p w14:paraId="27A3FE61" w14:textId="2A63681E" w:rsidR="00C374C8" w:rsidRPr="00C5133C" w:rsidRDefault="00C374C8" w:rsidP="00C5133C">
      <w:pPr>
        <w:spacing w:line="276" w:lineRule="auto"/>
        <w:rPr>
          <w:rFonts w:ascii="Cambria" w:hAnsi="Cambria"/>
          <w:sz w:val="22"/>
        </w:rPr>
      </w:pPr>
      <w:r w:rsidRPr="00C5133C">
        <w:rPr>
          <w:rFonts w:ascii="Cambria" w:hAnsi="Cambria"/>
          <w:sz w:val="22"/>
        </w:rPr>
        <w:t xml:space="preserve">Variabel dependen yang digunakan dalam penelitian ini adalah penghindaran pajak yang diukur berdasarkan model </w:t>
      </w:r>
      <w:r w:rsidRPr="00C5133C">
        <w:rPr>
          <w:rFonts w:ascii="Cambria" w:hAnsi="Cambria"/>
          <w:sz w:val="22"/>
          <w:lang w:val="en-US"/>
        </w:rPr>
        <w:t xml:space="preserve">GAAPETR </w:t>
      </w:r>
      <w:r w:rsidRPr="00C5133C">
        <w:rPr>
          <w:rFonts w:ascii="Cambria" w:hAnsi="Cambria"/>
          <w:sz w:val="22"/>
        </w:rPr>
        <w:fldChar w:fldCharType="begin" w:fldLock="1"/>
      </w:r>
      <w:r w:rsidRPr="00C5133C">
        <w:rPr>
          <w:rFonts w:ascii="Cambria" w:hAnsi="Cambria"/>
          <w:sz w:val="22"/>
        </w:rPr>
        <w:instrText>ADDIN CSL_CITATION {"citationItems":[{"id":"ITEM-1","itemData":{"DOI":"https://doi.org/10.1016/j.jaccpubpol.2007.10.003","ISSN":"0278-4254","abstract":"This study examines the determinants of the variability in corporate effective tax rates in Australia spanning the Ralph Review of Business Taxation reform. Our results indicate that corporate effective tax rates are associated with several major firm-specific characteristics, including firm size, capital structure (leverage) and asset mix (capital intensity, inventory intensity and R&amp;D intensity). While the Ralph Review tax reform had a significant impact on many of these associations, corporate effective tax rates continue to be associated with firm size, capital structure and asset mix after the tax reform.","author":[{"dropping-particle":"","family":"Richardson","given":"Grant","non-dropping-particle":"","parse-names":false,"suffix":""},{"dropping-particle":"","family":"Lanis","given":"Roman","non-dropping-particle":"","parse-names":false,"suffix":""}],"container-title":"Journal of Accounting and Public Policy","id":"ITEM-1","issue":"6","issued":{"date-parts":[["2007"]]},"page":"689-704","title":"Determinants of the variability in corporate effective tax rates and tax reform: Evidence from Australia","type":"article-journal","volume":"26"},"uris":["http://www.mendeley.com/documents/?uuid=ad65b09a-16e4-4558-987b-341864aa72de"]}],"mendeley":{"formattedCitation":"(Richardson &amp; Lanis, 2007)","plainTextFormattedCitation":"(Richardson &amp; Lanis, 2007)","previouslyFormattedCitation":"(Richardson &amp; Lanis, 2007)"},"properties":{"noteIndex":0},"schema":"https://github.com/citation-style-language/schema/raw/master/csl-citation.json"}</w:instrText>
      </w:r>
      <w:r w:rsidRPr="00C5133C">
        <w:rPr>
          <w:rFonts w:ascii="Cambria" w:hAnsi="Cambria"/>
          <w:sz w:val="22"/>
        </w:rPr>
        <w:fldChar w:fldCharType="separate"/>
      </w:r>
      <w:r w:rsidRPr="00C5133C">
        <w:rPr>
          <w:rFonts w:ascii="Cambria" w:hAnsi="Cambria"/>
          <w:noProof/>
          <w:sz w:val="22"/>
        </w:rPr>
        <w:t>(Richardson &amp; Lanis, 2007)</w:t>
      </w:r>
      <w:r w:rsidRPr="00C5133C">
        <w:rPr>
          <w:rFonts w:ascii="Cambria" w:hAnsi="Cambria"/>
          <w:sz w:val="22"/>
        </w:rPr>
        <w:fldChar w:fldCharType="end"/>
      </w:r>
      <w:r w:rsidRPr="00C5133C">
        <w:rPr>
          <w:rFonts w:ascii="Cambria" w:hAnsi="Cambria"/>
          <w:sz w:val="22"/>
        </w:rPr>
        <w:t xml:space="preserve">. Variabel </w:t>
      </w:r>
      <w:r w:rsidR="006D66D8">
        <w:rPr>
          <w:rFonts w:ascii="Cambria" w:hAnsi="Cambria"/>
          <w:sz w:val="22"/>
        </w:rPr>
        <w:t>i</w:t>
      </w:r>
      <w:r w:rsidR="00177C2A" w:rsidRPr="00C5133C">
        <w:rPr>
          <w:rFonts w:ascii="Cambria" w:hAnsi="Cambria"/>
          <w:sz w:val="22"/>
        </w:rPr>
        <w:t>ndependen</w:t>
      </w:r>
      <w:r w:rsidRPr="00C5133C">
        <w:rPr>
          <w:rFonts w:ascii="Cambria" w:hAnsi="Cambria"/>
          <w:sz w:val="22"/>
        </w:rPr>
        <w:t xml:space="preserve"> pada penelitian ini </w:t>
      </w:r>
      <w:r w:rsidRPr="00C5133C">
        <w:rPr>
          <w:rFonts w:ascii="Cambria" w:hAnsi="Cambria"/>
          <w:sz w:val="22"/>
          <w:lang w:val="en-US"/>
        </w:rPr>
        <w:t xml:space="preserve">terdiri dari manajemen laba akrual, manajemen laba </w:t>
      </w:r>
      <w:r w:rsidR="00BF2898" w:rsidRPr="00C5133C">
        <w:rPr>
          <w:rFonts w:ascii="Cambria" w:hAnsi="Cambria"/>
          <w:i/>
          <w:sz w:val="22"/>
          <w:lang w:val="en-US"/>
        </w:rPr>
        <w:t>real</w:t>
      </w:r>
      <w:r w:rsidRPr="00C5133C">
        <w:rPr>
          <w:rFonts w:ascii="Cambria" w:hAnsi="Cambria"/>
          <w:sz w:val="22"/>
          <w:lang w:val="en-US"/>
        </w:rPr>
        <w:t xml:space="preserve">, dan </w:t>
      </w:r>
      <w:r w:rsidRPr="00C5133C">
        <w:rPr>
          <w:rFonts w:ascii="Cambria" w:hAnsi="Cambria"/>
          <w:i/>
          <w:iCs/>
          <w:sz w:val="22"/>
          <w:lang w:val="en-US"/>
        </w:rPr>
        <w:t>transfer pricing</w:t>
      </w:r>
      <w:r w:rsidRPr="00C5133C">
        <w:rPr>
          <w:rFonts w:ascii="Cambria" w:hAnsi="Cambria"/>
          <w:sz w:val="22"/>
        </w:rPr>
        <w:t xml:space="preserve">. Penelitian ini menggunakan variabel </w:t>
      </w:r>
      <w:r w:rsidR="006D66D8">
        <w:rPr>
          <w:rFonts w:ascii="Cambria" w:hAnsi="Cambria"/>
          <w:sz w:val="22"/>
        </w:rPr>
        <w:t>k</w:t>
      </w:r>
      <w:r w:rsidRPr="00C5133C">
        <w:rPr>
          <w:rFonts w:ascii="Cambria" w:hAnsi="Cambria"/>
          <w:sz w:val="22"/>
        </w:rPr>
        <w:t xml:space="preserve">ontrol Ukuran perusahaan dan </w:t>
      </w:r>
      <w:r w:rsidR="00FA0990" w:rsidRPr="00C5133C">
        <w:rPr>
          <w:rFonts w:ascii="Cambria" w:hAnsi="Cambria"/>
          <w:i/>
          <w:sz w:val="22"/>
        </w:rPr>
        <w:t>Leverage</w:t>
      </w:r>
    </w:p>
    <w:p w14:paraId="596287BC" w14:textId="5D3870B9" w:rsidR="00C374C8" w:rsidRPr="00984877" w:rsidRDefault="00254373" w:rsidP="00C5133C">
      <w:pPr>
        <w:spacing w:line="276" w:lineRule="auto"/>
        <w:ind w:firstLine="0"/>
        <w:rPr>
          <w:rFonts w:ascii="Cambria" w:hAnsi="Cambria" w:cs="Times New Roman"/>
          <w:b/>
          <w:sz w:val="22"/>
        </w:rPr>
      </w:pPr>
      <m:oMathPara>
        <m:oMath>
          <m:r>
            <m:rPr>
              <m:sty m:val="bi"/>
            </m:rPr>
            <w:rPr>
              <w:rFonts w:ascii="Cambria Math" w:hAnsi="Cambria Math" w:cs="Times New Roman"/>
              <w:sz w:val="22"/>
            </w:rPr>
            <m:t xml:space="preserve">Taxav= </m:t>
          </m:r>
          <m:sSub>
            <m:sSubPr>
              <m:ctrlPr>
                <w:rPr>
                  <w:rFonts w:ascii="Cambria Math" w:hAnsi="Cambria Math" w:cs="Times New Roman"/>
                  <w:b/>
                  <w:i/>
                  <w:sz w:val="22"/>
                </w:rPr>
              </m:ctrlPr>
            </m:sSubPr>
            <m:e>
              <m:r>
                <m:rPr>
                  <m:sty m:val="bi"/>
                </m:rPr>
                <w:rPr>
                  <w:rFonts w:ascii="Cambria Math" w:hAnsi="Cambria Math" w:cs="Times New Roman"/>
                  <w:sz w:val="22"/>
                </w:rPr>
                <m:t>α</m:t>
              </m:r>
            </m:e>
            <m:sub>
              <m:r>
                <m:rPr>
                  <m:sty m:val="bi"/>
                </m:rPr>
                <w:rPr>
                  <w:rFonts w:ascii="Cambria Math" w:hAnsi="Cambria Math" w:cs="Times New Roman"/>
                  <w:sz w:val="22"/>
                </w:rPr>
                <m:t>i,t</m:t>
              </m:r>
            </m:sub>
          </m:sSub>
          <m:r>
            <m:rPr>
              <m:sty m:val="bi"/>
            </m:rPr>
            <w:rPr>
              <w:rFonts w:ascii="Cambria Math" w:hAnsi="Cambria Math" w:cs="Times New Roman"/>
              <w:sz w:val="22"/>
            </w:rPr>
            <m:t xml:space="preserve"> + </m:t>
          </m:r>
          <m:sSub>
            <m:sSubPr>
              <m:ctrlPr>
                <w:rPr>
                  <w:rFonts w:ascii="Cambria Math" w:hAnsi="Cambria Math" w:cs="Times New Roman"/>
                  <w:b/>
                  <w:i/>
                  <w:sz w:val="22"/>
                </w:rPr>
              </m:ctrlPr>
            </m:sSubPr>
            <m:e>
              <m:r>
                <m:rPr>
                  <m:sty m:val="bi"/>
                </m:rPr>
                <w:rPr>
                  <w:rFonts w:ascii="Cambria Math" w:hAnsi="Cambria Math" w:cs="Times New Roman"/>
                  <w:sz w:val="22"/>
                </w:rPr>
                <m:t>β</m:t>
              </m:r>
            </m:e>
            <m:sub>
              <m:r>
                <m:rPr>
                  <m:sty m:val="bi"/>
                </m:rPr>
                <w:rPr>
                  <w:rFonts w:ascii="Cambria Math" w:hAnsi="Cambria Math" w:cs="Times New Roman"/>
                  <w:sz w:val="22"/>
                </w:rPr>
                <m:t>1</m:t>
              </m:r>
            </m:sub>
          </m:sSub>
          <m:sSub>
            <m:sSubPr>
              <m:ctrlPr>
                <w:rPr>
                  <w:rFonts w:ascii="Cambria Math" w:hAnsi="Cambria Math" w:cs="Times New Roman"/>
                  <w:b/>
                  <w:i/>
                  <w:sz w:val="22"/>
                </w:rPr>
              </m:ctrlPr>
            </m:sSubPr>
            <m:e>
              <m:r>
                <m:rPr>
                  <m:sty m:val="bi"/>
                </m:rPr>
                <w:rPr>
                  <w:rFonts w:ascii="Cambria Math" w:hAnsi="Cambria Math" w:cs="Times New Roman"/>
                  <w:sz w:val="22"/>
                </w:rPr>
                <m:t>MLACC</m:t>
              </m:r>
            </m:e>
            <m:sub>
              <m:r>
                <m:rPr>
                  <m:sty m:val="bi"/>
                </m:rPr>
                <w:rPr>
                  <w:rFonts w:ascii="Cambria Math" w:hAnsi="Cambria Math" w:cs="Times New Roman"/>
                  <w:sz w:val="22"/>
                </w:rPr>
                <m:t>i,t</m:t>
              </m:r>
            </m:sub>
          </m:sSub>
          <m:r>
            <m:rPr>
              <m:sty m:val="bi"/>
            </m:rPr>
            <w:rPr>
              <w:rFonts w:ascii="Cambria Math" w:hAnsi="Cambria Math" w:cs="Times New Roman"/>
              <w:sz w:val="22"/>
            </w:rPr>
            <m:t>+</m:t>
          </m:r>
          <m:sSub>
            <m:sSubPr>
              <m:ctrlPr>
                <w:rPr>
                  <w:rFonts w:ascii="Cambria Math" w:hAnsi="Cambria Math" w:cs="Times New Roman"/>
                  <w:b/>
                  <w:i/>
                  <w:sz w:val="22"/>
                </w:rPr>
              </m:ctrlPr>
            </m:sSubPr>
            <m:e>
              <m:r>
                <m:rPr>
                  <m:sty m:val="bi"/>
                </m:rPr>
                <w:rPr>
                  <w:rFonts w:ascii="Cambria Math" w:hAnsi="Cambria Math" w:cs="Times New Roman"/>
                  <w:sz w:val="22"/>
                </w:rPr>
                <m:t>β</m:t>
              </m:r>
            </m:e>
            <m:sub>
              <m:r>
                <m:rPr>
                  <m:sty m:val="bi"/>
                </m:rPr>
                <w:rPr>
                  <w:rFonts w:ascii="Cambria Math" w:hAnsi="Cambria Math" w:cs="Times New Roman"/>
                  <w:sz w:val="22"/>
                </w:rPr>
                <m:t>2</m:t>
              </m:r>
            </m:sub>
          </m:sSub>
          <m:sSub>
            <m:sSubPr>
              <m:ctrlPr>
                <w:rPr>
                  <w:rFonts w:ascii="Cambria Math" w:hAnsi="Cambria Math" w:cs="Times New Roman"/>
                  <w:b/>
                  <w:i/>
                  <w:sz w:val="22"/>
                </w:rPr>
              </m:ctrlPr>
            </m:sSubPr>
            <m:e>
              <m:r>
                <m:rPr>
                  <m:sty m:val="bi"/>
                </m:rPr>
                <w:rPr>
                  <w:rFonts w:ascii="Cambria Math" w:hAnsi="Cambria Math" w:cs="Times New Roman"/>
                  <w:sz w:val="22"/>
                </w:rPr>
                <m:t>MLRCF</m:t>
              </m:r>
            </m:e>
            <m:sub>
              <m:r>
                <m:rPr>
                  <m:sty m:val="bi"/>
                </m:rPr>
                <w:rPr>
                  <w:rFonts w:ascii="Cambria Math" w:hAnsi="Cambria Math" w:cs="Times New Roman"/>
                  <w:sz w:val="22"/>
                </w:rPr>
                <m:t>i,t</m:t>
              </m:r>
            </m:sub>
          </m:sSub>
          <m:r>
            <m:rPr>
              <m:sty m:val="bi"/>
            </m:rPr>
            <w:rPr>
              <w:rFonts w:ascii="Cambria Math" w:hAnsi="Cambria Math" w:cs="Times New Roman"/>
              <w:sz w:val="22"/>
            </w:rPr>
            <m:t>+</m:t>
          </m:r>
          <m:sSub>
            <m:sSubPr>
              <m:ctrlPr>
                <w:rPr>
                  <w:rFonts w:ascii="Cambria Math" w:hAnsi="Cambria Math" w:cs="Times New Roman"/>
                  <w:b/>
                  <w:i/>
                  <w:sz w:val="22"/>
                </w:rPr>
              </m:ctrlPr>
            </m:sSubPr>
            <m:e>
              <m:r>
                <m:rPr>
                  <m:sty m:val="bi"/>
                </m:rPr>
                <w:rPr>
                  <w:rFonts w:ascii="Cambria Math" w:hAnsi="Cambria Math" w:cs="Times New Roman"/>
                  <w:sz w:val="22"/>
                </w:rPr>
                <m:t>β</m:t>
              </m:r>
            </m:e>
            <m:sub>
              <m:r>
                <m:rPr>
                  <m:sty m:val="bi"/>
                </m:rPr>
                <w:rPr>
                  <w:rFonts w:ascii="Cambria Math" w:hAnsi="Cambria Math" w:cs="Times New Roman"/>
                  <w:sz w:val="22"/>
                </w:rPr>
                <m:t>3</m:t>
              </m:r>
            </m:sub>
          </m:sSub>
          <m:sSub>
            <m:sSubPr>
              <m:ctrlPr>
                <w:rPr>
                  <w:rFonts w:ascii="Cambria Math" w:hAnsi="Cambria Math" w:cs="Times New Roman"/>
                  <w:b/>
                  <w:i/>
                  <w:sz w:val="22"/>
                </w:rPr>
              </m:ctrlPr>
            </m:sSubPr>
            <m:e>
              <m:r>
                <m:rPr>
                  <m:sty m:val="bi"/>
                </m:rPr>
                <w:rPr>
                  <w:rFonts w:ascii="Cambria Math" w:hAnsi="Cambria Math" w:cs="Times New Roman"/>
                  <w:sz w:val="22"/>
                </w:rPr>
                <m:t>MLRPROD</m:t>
              </m:r>
            </m:e>
            <m:sub>
              <m:r>
                <m:rPr>
                  <m:sty m:val="bi"/>
                </m:rPr>
                <w:rPr>
                  <w:rFonts w:ascii="Cambria Math" w:hAnsi="Cambria Math" w:cs="Times New Roman"/>
                  <w:sz w:val="22"/>
                </w:rPr>
                <m:t>i,t</m:t>
              </m:r>
            </m:sub>
          </m:sSub>
          <m:r>
            <m:rPr>
              <m:sty m:val="bi"/>
            </m:rPr>
            <w:rPr>
              <w:rFonts w:ascii="Cambria Math" w:hAnsi="Cambria Math" w:cs="Times New Roman"/>
              <w:sz w:val="22"/>
            </w:rPr>
            <m:t>+</m:t>
          </m:r>
          <m:sSub>
            <m:sSubPr>
              <m:ctrlPr>
                <w:rPr>
                  <w:rFonts w:ascii="Cambria Math" w:hAnsi="Cambria Math" w:cs="Times New Roman"/>
                  <w:b/>
                  <w:i/>
                  <w:sz w:val="22"/>
                </w:rPr>
              </m:ctrlPr>
            </m:sSubPr>
            <m:e>
              <m:r>
                <m:rPr>
                  <m:sty m:val="bi"/>
                </m:rPr>
                <w:rPr>
                  <w:rFonts w:ascii="Cambria Math" w:hAnsi="Cambria Math" w:cs="Times New Roman"/>
                  <w:sz w:val="22"/>
                </w:rPr>
                <m:t>β</m:t>
              </m:r>
            </m:e>
            <m:sub>
              <m:r>
                <m:rPr>
                  <m:sty m:val="bi"/>
                </m:rPr>
                <w:rPr>
                  <w:rFonts w:ascii="Cambria Math" w:hAnsi="Cambria Math" w:cs="Times New Roman"/>
                  <w:sz w:val="22"/>
                </w:rPr>
                <m:t>4</m:t>
              </m:r>
            </m:sub>
          </m:sSub>
          <m:sSub>
            <m:sSubPr>
              <m:ctrlPr>
                <w:rPr>
                  <w:rFonts w:ascii="Cambria Math" w:hAnsi="Cambria Math" w:cs="Times New Roman"/>
                  <w:b/>
                  <w:i/>
                  <w:sz w:val="22"/>
                </w:rPr>
              </m:ctrlPr>
            </m:sSubPr>
            <m:e>
              <m:r>
                <m:rPr>
                  <m:sty m:val="bi"/>
                </m:rPr>
                <w:rPr>
                  <w:rFonts w:ascii="Cambria Math" w:hAnsi="Cambria Math" w:cs="Times New Roman"/>
                  <w:sz w:val="22"/>
                </w:rPr>
                <m:t>MLRDISK</m:t>
              </m:r>
            </m:e>
            <m:sub>
              <m:r>
                <m:rPr>
                  <m:sty m:val="bi"/>
                </m:rPr>
                <w:rPr>
                  <w:rFonts w:ascii="Cambria Math" w:hAnsi="Cambria Math" w:cs="Times New Roman"/>
                  <w:sz w:val="22"/>
                </w:rPr>
                <m:t>i,t</m:t>
              </m:r>
            </m:sub>
          </m:sSub>
          <m:r>
            <m:rPr>
              <m:sty m:val="bi"/>
            </m:rPr>
            <w:rPr>
              <w:rFonts w:ascii="Cambria Math" w:hAnsi="Cambria Math" w:cs="Times New Roman"/>
              <w:sz w:val="22"/>
            </w:rPr>
            <m:t>+</m:t>
          </m:r>
          <m:sSub>
            <m:sSubPr>
              <m:ctrlPr>
                <w:rPr>
                  <w:rFonts w:ascii="Cambria Math" w:hAnsi="Cambria Math" w:cs="Times New Roman"/>
                  <w:b/>
                  <w:i/>
                  <w:sz w:val="22"/>
                </w:rPr>
              </m:ctrlPr>
            </m:sSubPr>
            <m:e>
              <m:r>
                <m:rPr>
                  <m:sty m:val="bi"/>
                </m:rPr>
                <w:rPr>
                  <w:rFonts w:ascii="Cambria Math" w:hAnsi="Cambria Math" w:cs="Times New Roman"/>
                  <w:sz w:val="22"/>
                </w:rPr>
                <m:t>β</m:t>
              </m:r>
            </m:e>
            <m:sub>
              <m:r>
                <m:rPr>
                  <m:sty m:val="bi"/>
                </m:rPr>
                <w:rPr>
                  <w:rFonts w:ascii="Cambria Math" w:hAnsi="Cambria Math" w:cs="Times New Roman"/>
                  <w:sz w:val="22"/>
                </w:rPr>
                <m:t>5</m:t>
              </m:r>
            </m:sub>
          </m:sSub>
          <m:sSub>
            <m:sSubPr>
              <m:ctrlPr>
                <w:rPr>
                  <w:rFonts w:ascii="Cambria Math" w:hAnsi="Cambria Math" w:cs="Times New Roman"/>
                  <w:b/>
                  <w:i/>
                  <w:sz w:val="22"/>
                </w:rPr>
              </m:ctrlPr>
            </m:sSubPr>
            <m:e>
              <m:r>
                <m:rPr>
                  <m:sty m:val="bi"/>
                </m:rPr>
                <w:rPr>
                  <w:rFonts w:ascii="Cambria Math" w:hAnsi="Cambria Math" w:cs="Times New Roman"/>
                  <w:sz w:val="22"/>
                </w:rPr>
                <m:t>TP</m:t>
              </m:r>
            </m:e>
            <m:sub>
              <m:r>
                <m:rPr>
                  <m:sty m:val="bi"/>
                </m:rPr>
                <w:rPr>
                  <w:rFonts w:ascii="Cambria Math" w:hAnsi="Cambria Math" w:cs="Times New Roman"/>
                  <w:sz w:val="22"/>
                </w:rPr>
                <m:t>i,t</m:t>
              </m:r>
            </m:sub>
          </m:sSub>
          <m:r>
            <m:rPr>
              <m:sty m:val="bi"/>
            </m:rPr>
            <w:rPr>
              <w:rFonts w:ascii="Cambria Math" w:hAnsi="Cambria Math" w:cs="Times New Roman"/>
              <w:sz w:val="22"/>
            </w:rPr>
            <m:t>+</m:t>
          </m:r>
          <m:sSub>
            <m:sSubPr>
              <m:ctrlPr>
                <w:rPr>
                  <w:rFonts w:ascii="Cambria Math" w:hAnsi="Cambria Math" w:cs="Times New Roman"/>
                  <w:b/>
                  <w:i/>
                  <w:sz w:val="22"/>
                </w:rPr>
              </m:ctrlPr>
            </m:sSubPr>
            <m:e>
              <m:r>
                <m:rPr>
                  <m:sty m:val="bi"/>
                </m:rPr>
                <w:rPr>
                  <w:rFonts w:ascii="Cambria Math" w:hAnsi="Cambria Math" w:cs="Times New Roman"/>
                  <w:sz w:val="22"/>
                </w:rPr>
                <m:t>β</m:t>
              </m:r>
            </m:e>
            <m:sub>
              <m:r>
                <m:rPr>
                  <m:sty m:val="bi"/>
                </m:rPr>
                <w:rPr>
                  <w:rFonts w:ascii="Cambria Math" w:hAnsi="Cambria Math" w:cs="Times New Roman"/>
                  <w:sz w:val="22"/>
                </w:rPr>
                <m:t>6</m:t>
              </m:r>
            </m:sub>
          </m:sSub>
          <m:sSub>
            <m:sSubPr>
              <m:ctrlPr>
                <w:rPr>
                  <w:rFonts w:ascii="Cambria Math" w:hAnsi="Cambria Math" w:cs="Times New Roman"/>
                  <w:b/>
                  <w:i/>
                  <w:sz w:val="22"/>
                </w:rPr>
              </m:ctrlPr>
            </m:sSubPr>
            <m:e>
              <m:r>
                <m:rPr>
                  <m:sty m:val="bi"/>
                </m:rPr>
                <w:rPr>
                  <w:rFonts w:ascii="Cambria Math" w:hAnsi="Cambria Math" w:cs="Times New Roman"/>
                  <w:sz w:val="22"/>
                </w:rPr>
                <m:t>SIZE</m:t>
              </m:r>
            </m:e>
            <m:sub>
              <m:r>
                <m:rPr>
                  <m:sty m:val="bi"/>
                </m:rPr>
                <w:rPr>
                  <w:rFonts w:ascii="Cambria Math" w:hAnsi="Cambria Math" w:cs="Times New Roman"/>
                  <w:sz w:val="22"/>
                </w:rPr>
                <m:t>i,t</m:t>
              </m:r>
            </m:sub>
          </m:sSub>
          <m:r>
            <m:rPr>
              <m:sty m:val="bi"/>
            </m:rPr>
            <w:rPr>
              <w:rFonts w:ascii="Cambria Math" w:hAnsi="Cambria Math" w:cs="Times New Roman"/>
              <w:sz w:val="22"/>
            </w:rPr>
            <m:t>+</m:t>
          </m:r>
          <m:sSub>
            <m:sSubPr>
              <m:ctrlPr>
                <w:rPr>
                  <w:rFonts w:ascii="Cambria Math" w:hAnsi="Cambria Math" w:cs="Times New Roman"/>
                  <w:b/>
                  <w:i/>
                  <w:sz w:val="22"/>
                </w:rPr>
              </m:ctrlPr>
            </m:sSubPr>
            <m:e>
              <m:r>
                <m:rPr>
                  <m:sty m:val="bi"/>
                </m:rPr>
                <w:rPr>
                  <w:rFonts w:ascii="Cambria Math" w:hAnsi="Cambria Math" w:cs="Times New Roman"/>
                  <w:sz w:val="22"/>
                </w:rPr>
                <m:t>β</m:t>
              </m:r>
            </m:e>
            <m:sub>
              <m:r>
                <m:rPr>
                  <m:sty m:val="bi"/>
                </m:rPr>
                <w:rPr>
                  <w:rFonts w:ascii="Cambria Math" w:hAnsi="Cambria Math" w:cs="Times New Roman"/>
                  <w:sz w:val="22"/>
                </w:rPr>
                <m:t>7</m:t>
              </m:r>
            </m:sub>
          </m:sSub>
          <m:sSub>
            <m:sSubPr>
              <m:ctrlPr>
                <w:rPr>
                  <w:rFonts w:ascii="Cambria Math" w:hAnsi="Cambria Math" w:cs="Times New Roman"/>
                  <w:b/>
                  <w:i/>
                  <w:sz w:val="22"/>
                </w:rPr>
              </m:ctrlPr>
            </m:sSubPr>
            <m:e>
              <m:r>
                <m:rPr>
                  <m:sty m:val="bi"/>
                </m:rPr>
                <w:rPr>
                  <w:rFonts w:ascii="Cambria Math" w:hAnsi="Cambria Math" w:cs="Times New Roman"/>
                  <w:sz w:val="22"/>
                </w:rPr>
                <m:t>LEV</m:t>
              </m:r>
            </m:e>
            <m:sub>
              <m:r>
                <m:rPr>
                  <m:sty m:val="bi"/>
                </m:rPr>
                <w:rPr>
                  <w:rFonts w:ascii="Cambria Math" w:hAnsi="Cambria Math" w:cs="Times New Roman"/>
                  <w:sz w:val="22"/>
                </w:rPr>
                <m:t>i,t</m:t>
              </m:r>
            </m:sub>
          </m:sSub>
          <m:r>
            <m:rPr>
              <m:sty m:val="bi"/>
            </m:rPr>
            <w:rPr>
              <w:rFonts w:ascii="Cambria Math" w:hAnsi="Cambria Math" w:cs="Times New Roman"/>
              <w:sz w:val="22"/>
            </w:rPr>
            <m:t>+ε</m:t>
          </m:r>
        </m:oMath>
      </m:oMathPara>
    </w:p>
    <w:p w14:paraId="33FE0F7D" w14:textId="56087112" w:rsidR="00C374C8" w:rsidRDefault="00C374C8" w:rsidP="00C5133C">
      <w:pPr>
        <w:spacing w:line="276" w:lineRule="auto"/>
        <w:ind w:firstLine="0"/>
        <w:rPr>
          <w:rFonts w:ascii="Cambria" w:hAnsi="Cambria" w:cs="Times New Roman"/>
          <w:sz w:val="22"/>
        </w:rPr>
      </w:pPr>
      <w:r w:rsidRPr="00C5133C">
        <w:rPr>
          <w:rFonts w:ascii="Cambria" w:hAnsi="Cambria" w:cs="Times New Roman"/>
          <w:sz w:val="22"/>
        </w:rPr>
        <w:t>Dimana</w:t>
      </w:r>
      <w:r w:rsidR="00984877">
        <w:rPr>
          <w:rFonts w:ascii="Cambria" w:hAnsi="Cambria" w:cs="Times New Roman"/>
          <w:sz w:val="22"/>
        </w:rPr>
        <w:tab/>
      </w:r>
      <w:r w:rsidRPr="00C5133C">
        <w:rPr>
          <w:rFonts w:ascii="Cambria" w:hAnsi="Cambria" w:cs="Times New Roman"/>
          <w:sz w:val="22"/>
        </w:rPr>
        <w:t>:</w:t>
      </w:r>
    </w:p>
    <w:p w14:paraId="1CE6A093" w14:textId="77777777" w:rsidR="00984877" w:rsidRPr="00C5133C" w:rsidRDefault="00984877" w:rsidP="00C5133C">
      <w:pPr>
        <w:spacing w:line="276" w:lineRule="auto"/>
        <w:ind w:firstLine="0"/>
        <w:rPr>
          <w:rFonts w:ascii="Cambria" w:hAnsi="Cambria" w:cs="Times New Roman"/>
          <w:sz w:val="22"/>
          <w:lang w:val="id-ID"/>
        </w:rPr>
      </w:pPr>
    </w:p>
    <w:p w14:paraId="34A5003C" w14:textId="77777777" w:rsidR="00C374C8" w:rsidRPr="00C5133C" w:rsidRDefault="00C374C8" w:rsidP="00C5133C">
      <w:pPr>
        <w:spacing w:line="276" w:lineRule="auto"/>
        <w:ind w:firstLine="0"/>
        <w:rPr>
          <w:rFonts w:ascii="Cambria" w:hAnsi="Cambria" w:cs="Times New Roman"/>
          <w:sz w:val="22"/>
        </w:rPr>
      </w:pPr>
      <w:r w:rsidRPr="00C5133C">
        <w:rPr>
          <w:rFonts w:ascii="Cambria" w:hAnsi="Cambria" w:cs="Times New Roman"/>
          <w:sz w:val="22"/>
        </w:rPr>
        <w:t>Taxav</w:t>
      </w:r>
      <w:r w:rsidRPr="00C5133C">
        <w:rPr>
          <w:rFonts w:ascii="Cambria" w:hAnsi="Cambria" w:cs="Times New Roman"/>
          <w:sz w:val="22"/>
        </w:rPr>
        <w:tab/>
      </w:r>
      <w:r w:rsidRPr="00C5133C">
        <w:rPr>
          <w:rFonts w:ascii="Cambria" w:hAnsi="Cambria" w:cs="Times New Roman"/>
          <w:sz w:val="22"/>
        </w:rPr>
        <w:tab/>
        <w:t xml:space="preserve">: </w:t>
      </w:r>
      <w:r w:rsidRPr="00C5133C">
        <w:rPr>
          <w:rFonts w:ascii="Cambria" w:hAnsi="Cambria" w:cs="Times New Roman"/>
          <w:sz w:val="22"/>
          <w:lang w:val="en-US"/>
        </w:rPr>
        <w:t>Penghindaran</w:t>
      </w:r>
      <w:r w:rsidRPr="00C5133C">
        <w:rPr>
          <w:rFonts w:ascii="Cambria" w:hAnsi="Cambria" w:cs="Times New Roman"/>
          <w:sz w:val="22"/>
        </w:rPr>
        <w:t xml:space="preserve"> Pajak</w:t>
      </w:r>
    </w:p>
    <w:p w14:paraId="3906BEC3" w14:textId="77777777" w:rsidR="00C374C8" w:rsidRPr="00C5133C" w:rsidRDefault="00C374C8" w:rsidP="00C5133C">
      <w:pPr>
        <w:spacing w:line="276" w:lineRule="auto"/>
        <w:ind w:firstLine="0"/>
        <w:rPr>
          <w:rFonts w:ascii="Cambria" w:hAnsi="Cambria" w:cs="Times New Roman"/>
          <w:sz w:val="22"/>
        </w:rPr>
      </w:pPr>
      <w:r w:rsidRPr="00C5133C">
        <w:rPr>
          <w:rFonts w:ascii="Cambria" w:hAnsi="Cambria" w:cs="Times New Roman"/>
          <w:sz w:val="22"/>
        </w:rPr>
        <w:t>α</w:t>
      </w:r>
      <w:r w:rsidRPr="00C5133C">
        <w:rPr>
          <w:rFonts w:ascii="Cambria" w:hAnsi="Cambria" w:cs="Times New Roman"/>
          <w:sz w:val="22"/>
        </w:rPr>
        <w:tab/>
      </w:r>
      <w:r w:rsidRPr="00C5133C">
        <w:rPr>
          <w:rFonts w:ascii="Cambria" w:hAnsi="Cambria" w:cs="Times New Roman"/>
          <w:sz w:val="22"/>
        </w:rPr>
        <w:tab/>
        <w:t>: Konstanta</w:t>
      </w:r>
    </w:p>
    <w:p w14:paraId="52D104D2" w14:textId="0ACAC829" w:rsidR="00C374C8" w:rsidRPr="00C5133C" w:rsidRDefault="00C374C8" w:rsidP="00C5133C">
      <w:pPr>
        <w:spacing w:line="276" w:lineRule="auto"/>
        <w:ind w:firstLine="0"/>
        <w:rPr>
          <w:rFonts w:ascii="Cambria" w:hAnsi="Cambria" w:cs="Times New Roman"/>
          <w:sz w:val="22"/>
        </w:rPr>
      </w:pPr>
      <w:r w:rsidRPr="00C5133C">
        <w:rPr>
          <w:rFonts w:ascii="Cambria" w:hAnsi="Cambria" w:cs="Times New Roman"/>
          <w:sz w:val="22"/>
          <w:lang w:val="en-US"/>
        </w:rPr>
        <w:t>MLACC</w:t>
      </w:r>
      <w:r w:rsidRPr="00C5133C">
        <w:rPr>
          <w:rFonts w:ascii="Cambria" w:hAnsi="Cambria" w:cs="Times New Roman"/>
          <w:sz w:val="22"/>
        </w:rPr>
        <w:tab/>
      </w:r>
      <w:r w:rsidR="00984877">
        <w:rPr>
          <w:rFonts w:ascii="Cambria" w:hAnsi="Cambria" w:cs="Times New Roman"/>
          <w:sz w:val="22"/>
        </w:rPr>
        <w:tab/>
      </w:r>
      <w:r w:rsidRPr="00C5133C">
        <w:rPr>
          <w:rFonts w:ascii="Cambria" w:hAnsi="Cambria" w:cs="Times New Roman"/>
          <w:sz w:val="22"/>
        </w:rPr>
        <w:t xml:space="preserve">: </w:t>
      </w:r>
      <w:r w:rsidR="00984877">
        <w:rPr>
          <w:rFonts w:ascii="Cambria" w:hAnsi="Cambria" w:cs="Times New Roman"/>
          <w:sz w:val="22"/>
        </w:rPr>
        <w:t>M</w:t>
      </w:r>
      <w:r w:rsidRPr="00C5133C">
        <w:rPr>
          <w:rFonts w:ascii="Cambria" w:hAnsi="Cambria" w:cs="Times New Roman"/>
          <w:sz w:val="22"/>
        </w:rPr>
        <w:t>anajemen laba akrual pada tahun t</w:t>
      </w:r>
    </w:p>
    <w:p w14:paraId="37B2DF28" w14:textId="60582E48" w:rsidR="00C374C8" w:rsidRPr="00C5133C" w:rsidRDefault="00C374C8" w:rsidP="00C5133C">
      <w:pPr>
        <w:spacing w:line="276" w:lineRule="auto"/>
        <w:ind w:firstLine="0"/>
        <w:rPr>
          <w:rFonts w:ascii="Cambria" w:hAnsi="Cambria" w:cs="Times New Roman"/>
          <w:sz w:val="22"/>
        </w:rPr>
      </w:pPr>
      <w:r w:rsidRPr="00C5133C">
        <w:rPr>
          <w:rFonts w:ascii="Cambria" w:hAnsi="Cambria" w:cs="Times New Roman"/>
          <w:sz w:val="22"/>
          <w:lang w:val="en-US"/>
        </w:rPr>
        <w:t>MLRCF</w:t>
      </w:r>
      <w:r w:rsidRPr="00C5133C">
        <w:rPr>
          <w:rFonts w:ascii="Cambria" w:hAnsi="Cambria" w:cs="Times New Roman"/>
          <w:sz w:val="22"/>
        </w:rPr>
        <w:tab/>
      </w:r>
      <w:r w:rsidR="00984877">
        <w:rPr>
          <w:rFonts w:ascii="Cambria" w:hAnsi="Cambria" w:cs="Times New Roman"/>
          <w:sz w:val="22"/>
        </w:rPr>
        <w:tab/>
      </w:r>
      <w:r w:rsidRPr="00C5133C">
        <w:rPr>
          <w:rFonts w:ascii="Cambria" w:hAnsi="Cambria" w:cs="Times New Roman"/>
          <w:sz w:val="22"/>
        </w:rPr>
        <w:t xml:space="preserve">: </w:t>
      </w:r>
      <w:r w:rsidR="00984877">
        <w:rPr>
          <w:rFonts w:ascii="Cambria" w:hAnsi="Cambria" w:cs="Times New Roman"/>
          <w:sz w:val="22"/>
        </w:rPr>
        <w:t>M</w:t>
      </w:r>
      <w:r w:rsidRPr="00C5133C">
        <w:rPr>
          <w:rFonts w:ascii="Cambria" w:hAnsi="Cambria" w:cs="Times New Roman"/>
          <w:sz w:val="22"/>
        </w:rPr>
        <w:t xml:space="preserve">anajemen laba </w:t>
      </w:r>
      <w:r w:rsidRPr="00C5133C">
        <w:rPr>
          <w:rFonts w:ascii="Cambria" w:hAnsi="Cambria" w:cs="Times New Roman"/>
          <w:sz w:val="22"/>
          <w:lang w:val="en-US"/>
        </w:rPr>
        <w:t xml:space="preserve">arus kas </w:t>
      </w:r>
      <w:r w:rsidRPr="00C5133C">
        <w:rPr>
          <w:rFonts w:ascii="Cambria" w:hAnsi="Cambria" w:cs="Times New Roman"/>
          <w:sz w:val="22"/>
        </w:rPr>
        <w:t>pada tahun t</w:t>
      </w:r>
    </w:p>
    <w:p w14:paraId="6427C677" w14:textId="22F3F8EB" w:rsidR="00C374C8" w:rsidRPr="00C5133C" w:rsidRDefault="00C374C8" w:rsidP="00C5133C">
      <w:pPr>
        <w:spacing w:line="276" w:lineRule="auto"/>
        <w:ind w:firstLine="0"/>
        <w:rPr>
          <w:rFonts w:ascii="Cambria" w:hAnsi="Cambria" w:cs="Times New Roman"/>
          <w:sz w:val="22"/>
        </w:rPr>
      </w:pPr>
      <w:r w:rsidRPr="00C5133C">
        <w:rPr>
          <w:rFonts w:ascii="Cambria" w:hAnsi="Cambria" w:cs="Times New Roman"/>
          <w:sz w:val="22"/>
          <w:lang w:val="en-US"/>
        </w:rPr>
        <w:t>MLRPROD</w:t>
      </w:r>
      <w:r w:rsidRPr="00C5133C">
        <w:rPr>
          <w:rFonts w:ascii="Cambria" w:hAnsi="Cambria" w:cs="Times New Roman"/>
          <w:sz w:val="22"/>
        </w:rPr>
        <w:tab/>
        <w:t xml:space="preserve">: </w:t>
      </w:r>
      <w:r w:rsidR="00984877">
        <w:rPr>
          <w:rFonts w:ascii="Cambria" w:hAnsi="Cambria" w:cs="Times New Roman"/>
          <w:sz w:val="22"/>
        </w:rPr>
        <w:t>M</w:t>
      </w:r>
      <w:r w:rsidRPr="00C5133C">
        <w:rPr>
          <w:rFonts w:ascii="Cambria" w:hAnsi="Cambria" w:cs="Times New Roman"/>
          <w:sz w:val="22"/>
        </w:rPr>
        <w:t xml:space="preserve">anajemen laba </w:t>
      </w:r>
      <w:r w:rsidRPr="00C5133C">
        <w:rPr>
          <w:rFonts w:ascii="Cambria" w:hAnsi="Cambria" w:cs="Times New Roman"/>
          <w:sz w:val="22"/>
          <w:lang w:val="en-US"/>
        </w:rPr>
        <w:t>biaya produksi</w:t>
      </w:r>
      <w:r w:rsidRPr="00C5133C">
        <w:rPr>
          <w:rFonts w:ascii="Cambria" w:hAnsi="Cambria" w:cs="Times New Roman"/>
          <w:sz w:val="22"/>
        </w:rPr>
        <w:t xml:space="preserve"> pada tahun t</w:t>
      </w:r>
    </w:p>
    <w:p w14:paraId="64F5A143" w14:textId="3529F4A1" w:rsidR="00C374C8" w:rsidRPr="00C5133C" w:rsidRDefault="00C374C8" w:rsidP="00C5133C">
      <w:pPr>
        <w:spacing w:line="276" w:lineRule="auto"/>
        <w:ind w:firstLine="0"/>
        <w:rPr>
          <w:rFonts w:ascii="Cambria" w:hAnsi="Cambria" w:cs="Times New Roman"/>
          <w:sz w:val="22"/>
        </w:rPr>
      </w:pPr>
      <w:r w:rsidRPr="00C5133C">
        <w:rPr>
          <w:rFonts w:ascii="Cambria" w:hAnsi="Cambria" w:cs="Times New Roman"/>
          <w:sz w:val="22"/>
          <w:lang w:val="en-US"/>
        </w:rPr>
        <w:t>MLRDISK</w:t>
      </w:r>
      <w:r w:rsidRPr="00C5133C">
        <w:rPr>
          <w:rFonts w:ascii="Cambria" w:hAnsi="Cambria" w:cs="Times New Roman"/>
          <w:sz w:val="22"/>
        </w:rPr>
        <w:tab/>
        <w:t xml:space="preserve">: </w:t>
      </w:r>
      <w:r w:rsidR="00984877">
        <w:rPr>
          <w:rFonts w:ascii="Cambria" w:hAnsi="Cambria" w:cs="Times New Roman"/>
          <w:sz w:val="22"/>
        </w:rPr>
        <w:t>M</w:t>
      </w:r>
      <w:r w:rsidRPr="00C5133C">
        <w:rPr>
          <w:rFonts w:ascii="Cambria" w:hAnsi="Cambria" w:cs="Times New Roman"/>
          <w:sz w:val="22"/>
        </w:rPr>
        <w:t xml:space="preserve">anajemen laba </w:t>
      </w:r>
      <w:r w:rsidRPr="00C5133C">
        <w:rPr>
          <w:rFonts w:ascii="Cambria" w:hAnsi="Cambria" w:cs="Times New Roman"/>
          <w:sz w:val="22"/>
          <w:lang w:val="en-US"/>
        </w:rPr>
        <w:t>biaya diskresioner</w:t>
      </w:r>
      <w:r w:rsidRPr="00C5133C">
        <w:rPr>
          <w:rFonts w:ascii="Cambria" w:hAnsi="Cambria" w:cs="Times New Roman"/>
          <w:sz w:val="22"/>
        </w:rPr>
        <w:t xml:space="preserve"> pada tahun t</w:t>
      </w:r>
    </w:p>
    <w:p w14:paraId="3E3885F8" w14:textId="77777777" w:rsidR="00C374C8" w:rsidRPr="00C5133C" w:rsidRDefault="00C374C8" w:rsidP="00C5133C">
      <w:pPr>
        <w:spacing w:line="276" w:lineRule="auto"/>
        <w:ind w:firstLine="0"/>
        <w:rPr>
          <w:rFonts w:ascii="Cambria" w:hAnsi="Cambria" w:cs="Times New Roman"/>
          <w:sz w:val="22"/>
          <w:lang w:val="en-US"/>
        </w:rPr>
      </w:pPr>
      <w:r w:rsidRPr="00C5133C">
        <w:rPr>
          <w:rFonts w:ascii="Cambria" w:hAnsi="Cambria" w:cs="Times New Roman"/>
          <w:sz w:val="22"/>
          <w:lang w:val="en-US"/>
        </w:rPr>
        <w:t>TP</w:t>
      </w:r>
      <w:r w:rsidRPr="00C5133C">
        <w:rPr>
          <w:rFonts w:ascii="Cambria" w:hAnsi="Cambria" w:cs="Times New Roman"/>
          <w:sz w:val="22"/>
          <w:lang w:val="en-US"/>
        </w:rPr>
        <w:tab/>
      </w:r>
      <w:r w:rsidRPr="00C5133C">
        <w:rPr>
          <w:rFonts w:ascii="Cambria" w:hAnsi="Cambria" w:cs="Times New Roman"/>
          <w:sz w:val="22"/>
          <w:lang w:val="en-US"/>
        </w:rPr>
        <w:tab/>
        <w:t xml:space="preserve">: </w:t>
      </w:r>
      <w:r w:rsidRPr="00C5133C">
        <w:rPr>
          <w:rFonts w:ascii="Cambria" w:hAnsi="Cambria" w:cs="Times New Roman"/>
          <w:i/>
          <w:sz w:val="22"/>
          <w:lang w:val="en-US"/>
        </w:rPr>
        <w:t>Transfer Pricing</w:t>
      </w:r>
    </w:p>
    <w:p w14:paraId="197853E3" w14:textId="77777777" w:rsidR="00C374C8" w:rsidRPr="00C5133C" w:rsidRDefault="00C374C8" w:rsidP="00C5133C">
      <w:pPr>
        <w:spacing w:line="276" w:lineRule="auto"/>
        <w:ind w:firstLine="0"/>
        <w:rPr>
          <w:rFonts w:ascii="Cambria" w:hAnsi="Cambria" w:cs="Times New Roman"/>
          <w:sz w:val="22"/>
          <w:lang w:val="id-ID"/>
        </w:rPr>
      </w:pPr>
      <w:r w:rsidRPr="00C5133C">
        <w:rPr>
          <w:rFonts w:ascii="Cambria" w:hAnsi="Cambria" w:cs="Times New Roman"/>
          <w:sz w:val="22"/>
        </w:rPr>
        <w:t>SIZE</w:t>
      </w:r>
      <w:r w:rsidRPr="00C5133C">
        <w:rPr>
          <w:rFonts w:ascii="Cambria" w:hAnsi="Cambria" w:cs="Times New Roman"/>
          <w:sz w:val="22"/>
        </w:rPr>
        <w:tab/>
      </w:r>
      <w:r w:rsidRPr="00C5133C">
        <w:rPr>
          <w:rFonts w:ascii="Cambria" w:hAnsi="Cambria" w:cs="Times New Roman"/>
          <w:sz w:val="22"/>
        </w:rPr>
        <w:tab/>
        <w:t>: Ukuran Perusahaan</w:t>
      </w:r>
    </w:p>
    <w:p w14:paraId="5529B27B" w14:textId="24C48561" w:rsidR="006C645C" w:rsidRDefault="00C374C8" w:rsidP="00C5133C">
      <w:pPr>
        <w:spacing w:line="276" w:lineRule="auto"/>
        <w:ind w:firstLine="0"/>
        <w:rPr>
          <w:rFonts w:ascii="Cambria" w:hAnsi="Cambria" w:cs="Times New Roman"/>
          <w:i/>
          <w:sz w:val="22"/>
        </w:rPr>
      </w:pPr>
      <w:r w:rsidRPr="00C5133C">
        <w:rPr>
          <w:rFonts w:ascii="Cambria" w:hAnsi="Cambria" w:cs="Times New Roman"/>
          <w:sz w:val="22"/>
        </w:rPr>
        <w:t>LEV</w:t>
      </w:r>
      <w:r w:rsidRPr="00C5133C">
        <w:rPr>
          <w:rFonts w:ascii="Cambria" w:hAnsi="Cambria" w:cs="Times New Roman"/>
          <w:sz w:val="22"/>
        </w:rPr>
        <w:tab/>
      </w:r>
      <w:r w:rsidRPr="00C5133C">
        <w:rPr>
          <w:rFonts w:ascii="Cambria" w:hAnsi="Cambria" w:cs="Times New Roman"/>
          <w:sz w:val="22"/>
        </w:rPr>
        <w:tab/>
        <w:t xml:space="preserve">: </w:t>
      </w:r>
      <w:r w:rsidR="00FA0990" w:rsidRPr="00C5133C">
        <w:rPr>
          <w:rFonts w:ascii="Cambria" w:hAnsi="Cambria" w:cs="Times New Roman"/>
          <w:i/>
          <w:sz w:val="22"/>
        </w:rPr>
        <w:t>Leverage</w:t>
      </w:r>
      <w:bookmarkStart w:id="8" w:name="_Toc71033593"/>
    </w:p>
    <w:p w14:paraId="223D9356" w14:textId="77777777" w:rsidR="00984877" w:rsidRPr="00984877" w:rsidRDefault="00984877" w:rsidP="00C5133C">
      <w:pPr>
        <w:spacing w:line="276" w:lineRule="auto"/>
        <w:ind w:firstLine="0"/>
        <w:rPr>
          <w:rFonts w:ascii="Cambria" w:hAnsi="Cambria" w:cs="Times New Roman"/>
          <w:i/>
          <w:sz w:val="22"/>
        </w:rPr>
      </w:pPr>
    </w:p>
    <w:p w14:paraId="2F01ED8C" w14:textId="069AE7A1" w:rsidR="00C374C8" w:rsidRPr="00C5133C" w:rsidRDefault="00C374C8" w:rsidP="00984877">
      <w:pPr>
        <w:pStyle w:val="Heading1"/>
        <w:numPr>
          <w:ilvl w:val="0"/>
          <w:numId w:val="27"/>
        </w:numPr>
        <w:spacing w:before="240" w:after="200" w:line="276" w:lineRule="auto"/>
        <w:ind w:left="709" w:hanging="709"/>
        <w:jc w:val="both"/>
        <w:rPr>
          <w:rFonts w:ascii="Cambria" w:hAnsi="Cambria"/>
          <w:sz w:val="24"/>
          <w:szCs w:val="24"/>
          <w:lang w:val="en-US"/>
        </w:rPr>
      </w:pPr>
      <w:bookmarkStart w:id="9" w:name="_Toc84232417"/>
      <w:bookmarkEnd w:id="8"/>
      <w:r w:rsidRPr="00C5133C">
        <w:rPr>
          <w:rFonts w:ascii="Cambria" w:hAnsi="Cambria"/>
          <w:sz w:val="24"/>
          <w:szCs w:val="24"/>
          <w:lang w:val="en-US"/>
        </w:rPr>
        <w:t>PEMBAHASAN</w:t>
      </w:r>
      <w:bookmarkEnd w:id="9"/>
    </w:p>
    <w:p w14:paraId="21A551E0" w14:textId="0A9BDFA0" w:rsidR="00C374C8" w:rsidRPr="00C5133C" w:rsidRDefault="00C374C8" w:rsidP="00B704D3">
      <w:pPr>
        <w:pStyle w:val="Heading2"/>
        <w:spacing w:after="200" w:line="276" w:lineRule="auto"/>
        <w:rPr>
          <w:rFonts w:ascii="Cambria" w:hAnsi="Cambria"/>
          <w:sz w:val="22"/>
          <w:szCs w:val="22"/>
          <w:lang w:val="en-US"/>
        </w:rPr>
      </w:pPr>
      <w:bookmarkStart w:id="10" w:name="_Toc84232418"/>
      <w:r w:rsidRPr="00C5133C">
        <w:rPr>
          <w:rFonts w:ascii="Cambria" w:hAnsi="Cambria"/>
          <w:sz w:val="22"/>
          <w:szCs w:val="22"/>
          <w:lang w:val="en-US"/>
        </w:rPr>
        <w:t>Hasil Pemilihan Sampel</w:t>
      </w:r>
      <w:bookmarkEnd w:id="10"/>
    </w:p>
    <w:p w14:paraId="5E42CE9F" w14:textId="77777777" w:rsidR="00C374C8" w:rsidRPr="00C5133C" w:rsidRDefault="00C374C8" w:rsidP="00C5133C">
      <w:pPr>
        <w:spacing w:line="276" w:lineRule="auto"/>
        <w:rPr>
          <w:rFonts w:ascii="Cambria" w:hAnsi="Cambria"/>
          <w:sz w:val="22"/>
          <w:lang w:val="en-US"/>
        </w:rPr>
      </w:pPr>
      <w:r w:rsidRPr="00C5133C">
        <w:rPr>
          <w:rFonts w:ascii="Cambria" w:hAnsi="Cambria"/>
          <w:sz w:val="22"/>
        </w:rPr>
        <w:t>Penelitian ini menggunakan data sekunder yang bersumber dari laporan keuangan perusahaan yang terdaftar di Bursa Efek Indonesia, yang termasuk dalam perusahaan sektor pertanian</w:t>
      </w:r>
      <w:r w:rsidRPr="00C5133C">
        <w:rPr>
          <w:rFonts w:ascii="Cambria" w:hAnsi="Cambria"/>
          <w:sz w:val="22"/>
          <w:lang w:val="en-US"/>
        </w:rPr>
        <w:t xml:space="preserve">. Jumlah perusahaan sektor pertanian yang terdaftar di Bursa Efek Indonesia pada tahun 2016 sampai dengan 2020 adalah 26 perusahaan. Perusahaan-perusahaan ini menjadi populasi awal dalam penelitian. Dari populasi awal tersebut, dilakukan pemilihan sampel dengan metode </w:t>
      </w:r>
      <w:r w:rsidRPr="00C5133C">
        <w:rPr>
          <w:rFonts w:ascii="Cambria" w:hAnsi="Cambria"/>
          <w:i/>
          <w:iCs/>
          <w:sz w:val="22"/>
          <w:lang w:val="en-US"/>
        </w:rPr>
        <w:t>purposive sampling</w:t>
      </w:r>
      <w:r w:rsidRPr="00C5133C">
        <w:rPr>
          <w:rFonts w:ascii="Cambria" w:hAnsi="Cambria"/>
          <w:sz w:val="22"/>
          <w:lang w:val="en-US"/>
        </w:rPr>
        <w:t xml:space="preserve"> dengan kriteria-kriteria yang telah ditentukan sebelumnya. </w:t>
      </w:r>
    </w:p>
    <w:p w14:paraId="72C4F90D" w14:textId="4B8ECE56" w:rsidR="00C374C8" w:rsidRPr="00C5133C" w:rsidRDefault="00C374C8" w:rsidP="00C5133C">
      <w:pPr>
        <w:spacing w:line="276" w:lineRule="auto"/>
        <w:rPr>
          <w:rFonts w:ascii="Cambria" w:hAnsi="Cambria"/>
          <w:sz w:val="22"/>
          <w:lang w:val="en-US"/>
        </w:rPr>
      </w:pPr>
      <w:r w:rsidRPr="00C5133C">
        <w:rPr>
          <w:rFonts w:ascii="Cambria" w:hAnsi="Cambria"/>
          <w:sz w:val="22"/>
        </w:rPr>
        <w:t>Kriteria pertama adalah perusahaan yang terdaftar dan konsisten menerbitkan laporan keuangan dari tahun 2014-2020</w:t>
      </w:r>
      <w:r w:rsidRPr="00C5133C">
        <w:rPr>
          <w:rFonts w:ascii="Cambria" w:hAnsi="Cambria"/>
          <w:sz w:val="22"/>
          <w:lang w:val="en-US"/>
        </w:rPr>
        <w:t>, perusahaan harus memiliki laporan keuangan tahun 2014 ka</w:t>
      </w:r>
      <w:r w:rsidR="002645F3" w:rsidRPr="00C5133C">
        <w:rPr>
          <w:rFonts w:ascii="Cambria" w:hAnsi="Cambria"/>
          <w:sz w:val="22"/>
          <w:lang w:val="en-US"/>
        </w:rPr>
        <w:t xml:space="preserve">rena variabel manajemen laba </w:t>
      </w:r>
      <w:r w:rsidR="002645F3" w:rsidRPr="00C5133C">
        <w:rPr>
          <w:rFonts w:ascii="Cambria" w:hAnsi="Cambria"/>
          <w:i/>
          <w:sz w:val="22"/>
          <w:lang w:val="en-US"/>
        </w:rPr>
        <w:t>rea</w:t>
      </w:r>
      <w:r w:rsidRPr="00C5133C">
        <w:rPr>
          <w:rFonts w:ascii="Cambria" w:hAnsi="Cambria"/>
          <w:i/>
          <w:sz w:val="22"/>
          <w:lang w:val="en-US"/>
        </w:rPr>
        <w:t>l</w:t>
      </w:r>
      <w:r w:rsidRPr="00C5133C">
        <w:rPr>
          <w:rFonts w:ascii="Cambria" w:hAnsi="Cambria"/>
          <w:sz w:val="22"/>
          <w:lang w:val="en-US"/>
        </w:rPr>
        <w:t xml:space="preserve"> membutuhkan data penjualan sampai dengan dua tahun sebelum tahun data yang diteliti. Dari total 26 perusahaan pada populasi awal, 9 perusahaan dikeluarkan dari populasi. 9 perusahaan ini terdiri dari 8 perusahaan yang baru terdaftar pada tahun 2018, dan 1 perusahaan yang tidak menyajikan laporan keuangan pada tahun 2019 dan 2020. Kriteria kedua dalam pemilihan sampel dalam penelitian ini adalah perusahaan harus menyediakan laporan keuangan yang disajikan dalam satuan mata uang rupiah. Dari 17 perusahaan yang memenuhi kriteria pertama, terdapat 1 perusahaan yang dikeluarkan dari populasi karena perusahaan tersebut memilih untuk menyajikan laporan keuangannya dalam dol</w:t>
      </w:r>
      <w:r w:rsidR="00845514">
        <w:rPr>
          <w:rFonts w:ascii="Cambria" w:hAnsi="Cambria"/>
          <w:sz w:val="22"/>
          <w:lang w:val="en-US"/>
        </w:rPr>
        <w:t>l</w:t>
      </w:r>
      <w:r w:rsidRPr="00C5133C">
        <w:rPr>
          <w:rFonts w:ascii="Cambria" w:hAnsi="Cambria"/>
          <w:sz w:val="22"/>
          <w:lang w:val="en-US"/>
        </w:rPr>
        <w:t>ar amerika serikat.</w:t>
      </w:r>
    </w:p>
    <w:p w14:paraId="099352B9" w14:textId="29866F59" w:rsidR="00C374C8" w:rsidRDefault="00C374C8" w:rsidP="00C5133C">
      <w:pPr>
        <w:spacing w:line="276" w:lineRule="auto"/>
        <w:rPr>
          <w:rFonts w:ascii="Cambria" w:hAnsi="Cambria" w:cs="Times New Roman"/>
          <w:sz w:val="22"/>
          <w:lang w:val="en-US"/>
        </w:rPr>
      </w:pPr>
      <w:r w:rsidRPr="00C5133C">
        <w:rPr>
          <w:rFonts w:ascii="Cambria" w:hAnsi="Cambria" w:cs="Times New Roman"/>
          <w:sz w:val="22"/>
          <w:lang w:val="en-US"/>
        </w:rPr>
        <w:t>Kriteria ketiga adalah perusahaan yang tidak mengalami kerugian selama periode observasi. Perusahaan yang mengalami kerugian dikeluarkan dari populasi karena kerugian yang dialami perusahaan akan mempengaruhi beban pajak kini yang dapat menyebabkan tidak akuratnya penggunaan proksi GAAP ETR dalam mengukur penghindaran pajak. Dari 16 perusahaan yang yang memenuhi kriteria-kriteria sebelumnya, 9 perusahaan dikeluarkan dari populasi karena perusahaan mengalami kerugian. Terdapat total 7 perusahaan yang memenuhi seluruh kriteria untuk dijadikan sampel dalam penelitian.</w:t>
      </w:r>
    </w:p>
    <w:p w14:paraId="256A7BD4" w14:textId="77777777" w:rsidR="00B704D3" w:rsidRPr="00C5133C" w:rsidRDefault="00B704D3" w:rsidP="00C5133C">
      <w:pPr>
        <w:spacing w:line="276" w:lineRule="auto"/>
        <w:rPr>
          <w:rFonts w:ascii="Cambria" w:hAnsi="Cambria" w:cs="Times New Roman"/>
          <w:sz w:val="22"/>
          <w:lang w:val="en-US"/>
        </w:rPr>
      </w:pPr>
    </w:p>
    <w:p w14:paraId="73D9455E" w14:textId="14F56EB4" w:rsidR="00C374C8" w:rsidRPr="00C5133C" w:rsidRDefault="00C374C8" w:rsidP="00B704D3">
      <w:pPr>
        <w:pStyle w:val="Heading2"/>
        <w:spacing w:after="200" w:line="276" w:lineRule="auto"/>
        <w:rPr>
          <w:rFonts w:ascii="Cambria" w:hAnsi="Cambria"/>
          <w:sz w:val="22"/>
          <w:szCs w:val="22"/>
          <w:lang w:val="en-US"/>
        </w:rPr>
      </w:pPr>
      <w:bookmarkStart w:id="11" w:name="_Toc84232419"/>
      <w:r w:rsidRPr="00C5133C">
        <w:rPr>
          <w:rFonts w:ascii="Cambria" w:hAnsi="Cambria"/>
          <w:sz w:val="22"/>
          <w:szCs w:val="22"/>
          <w:lang w:val="en-US"/>
        </w:rPr>
        <w:lastRenderedPageBreak/>
        <w:t xml:space="preserve">Analisis </w:t>
      </w:r>
      <w:r w:rsidRPr="00C5133C">
        <w:rPr>
          <w:rFonts w:ascii="Cambria" w:hAnsi="Cambria"/>
          <w:sz w:val="22"/>
          <w:szCs w:val="22"/>
        </w:rPr>
        <w:t>Statistik</w:t>
      </w:r>
      <w:r w:rsidRPr="00C5133C">
        <w:rPr>
          <w:rFonts w:ascii="Cambria" w:hAnsi="Cambria"/>
          <w:sz w:val="22"/>
          <w:szCs w:val="22"/>
          <w:lang w:val="en-US"/>
        </w:rPr>
        <w:t xml:space="preserve"> Deskriptif</w:t>
      </w:r>
      <w:bookmarkEnd w:id="11"/>
    </w:p>
    <w:p w14:paraId="71470FE5" w14:textId="018507AC" w:rsidR="00C374C8" w:rsidRPr="00C5133C" w:rsidRDefault="00C374C8" w:rsidP="00B704D3">
      <w:pPr>
        <w:spacing w:line="276" w:lineRule="auto"/>
        <w:rPr>
          <w:rFonts w:ascii="Cambria" w:hAnsi="Cambria"/>
          <w:sz w:val="22"/>
          <w:lang w:val="id-ID"/>
        </w:rPr>
      </w:pPr>
      <w:r w:rsidRPr="00C5133C">
        <w:rPr>
          <w:rFonts w:ascii="Cambria" w:hAnsi="Cambria"/>
          <w:sz w:val="22"/>
        </w:rPr>
        <w:t xml:space="preserve">Statistik deskriptif digunakan untuk mendeskripsikan data yang dikumpulkan tanpa menghasilkan kesimpulan baru </w:t>
      </w:r>
      <w:r w:rsidRPr="00C5133C">
        <w:rPr>
          <w:rFonts w:ascii="Cambria" w:hAnsi="Cambria"/>
          <w:sz w:val="22"/>
        </w:rPr>
        <w:fldChar w:fldCharType="begin" w:fldLock="1"/>
      </w:r>
      <w:r w:rsidRPr="00C5133C">
        <w:rPr>
          <w:rFonts w:ascii="Cambria" w:hAnsi="Cambria"/>
          <w:sz w:val="22"/>
        </w:rPr>
        <w:instrText>ADDIN CSL_CITATION {"citationItems":[{"id":"ITEM-1","itemData":{"abstract":"Menurut Sugiyono, metode penelitian kuantitatif dapat diartikan sebagai metode penelitian yang berlandaskan pada filsafat positivisme, digunakan untuk meneliti pada populasi atau sampel tertentu. Teknik pengambilan sampel pada umumnya dilakukan secara random, pengumpulan data menggunakan instrumen penelitian, analisis data bersifat kuantitatif/statistik dengan tujuan untuk menguji hipotesis yang telah ditetapkan","author":[{"dropping-particle":"","family":"Sugiyono","given":"Prof.Dr.","non-dropping-particle":"","parse-names":false,"suffix":""}],"container-title":"Alfabeta, cv.","id":"ITEM-1","issued":{"date-parts":[["2016"]]},"title":"Metode Penelitian Kuantitatif, Kualitatif, dan R&amp;D","type":"book"},"uris":["http://www.mendeley.com/documents/?uuid=455aa1b4-69d2-436e-86f1-5ecf7e61f19c"]}],"mendeley":{"formattedCitation":"(Sugiyono, 2016)","plainTextFormattedCitation":"(Sugiyono, 2016)","previouslyFormattedCitation":"(Sugiyono, 2016)"},"properties":{"noteIndex":0},"schema":"https://github.com/citation-style-language/schema/raw/master/csl-citation.json"}</w:instrText>
      </w:r>
      <w:r w:rsidRPr="00C5133C">
        <w:rPr>
          <w:rFonts w:ascii="Cambria" w:hAnsi="Cambria"/>
          <w:sz w:val="22"/>
        </w:rPr>
        <w:fldChar w:fldCharType="separate"/>
      </w:r>
      <w:r w:rsidRPr="00C5133C">
        <w:rPr>
          <w:rFonts w:ascii="Cambria" w:hAnsi="Cambria"/>
          <w:noProof/>
          <w:sz w:val="22"/>
        </w:rPr>
        <w:t>(Sugiyono, 2016)</w:t>
      </w:r>
      <w:r w:rsidRPr="00C5133C">
        <w:rPr>
          <w:rFonts w:ascii="Cambria" w:hAnsi="Cambria"/>
          <w:sz w:val="22"/>
        </w:rPr>
        <w:fldChar w:fldCharType="end"/>
      </w:r>
      <w:r w:rsidRPr="00C5133C">
        <w:rPr>
          <w:rFonts w:ascii="Cambria" w:hAnsi="Cambria" w:cs="Times New Roman"/>
          <w:sz w:val="22"/>
          <w:lang w:val="en-US"/>
        </w:rPr>
        <w:t xml:space="preserve">. Analisis </w:t>
      </w:r>
      <w:r w:rsidR="00770F6C" w:rsidRPr="00C5133C">
        <w:rPr>
          <w:rFonts w:ascii="Cambria" w:hAnsi="Cambria" w:cs="Times New Roman"/>
          <w:sz w:val="22"/>
          <w:lang w:val="en-US"/>
        </w:rPr>
        <w:t>statistik</w:t>
      </w:r>
      <w:r w:rsidRPr="00C5133C">
        <w:rPr>
          <w:rFonts w:ascii="Cambria" w:hAnsi="Cambria" w:cs="Times New Roman"/>
          <w:sz w:val="22"/>
          <w:lang w:val="en-US"/>
        </w:rPr>
        <w:t xml:space="preserve"> deskriptif dilakukan untuk menggambarkan deskripsi gambaran data variabel yang diamati agar lebih mudah untuk dipahami. Statistik deskriptif juga memberikan gambaran atas pola sebaran data. </w:t>
      </w:r>
      <w:r w:rsidRPr="00C5133C">
        <w:rPr>
          <w:rFonts w:ascii="Cambria" w:hAnsi="Cambria"/>
          <w:sz w:val="22"/>
        </w:rPr>
        <w:t xml:space="preserve">Analisis deskriptif yang ditampilkan dalam penelitian ini adalah </w:t>
      </w:r>
      <w:r w:rsidRPr="00C5133C">
        <w:rPr>
          <w:rFonts w:ascii="Cambria" w:hAnsi="Cambria"/>
          <w:i/>
          <w:iCs/>
          <w:sz w:val="22"/>
        </w:rPr>
        <w:t>mean</w:t>
      </w:r>
      <w:r w:rsidRPr="00C5133C">
        <w:rPr>
          <w:rFonts w:ascii="Cambria" w:hAnsi="Cambria"/>
          <w:sz w:val="22"/>
        </w:rPr>
        <w:t>, median, nilai maximum, nilai minimum, dan standar deviasi.</w:t>
      </w:r>
    </w:p>
    <w:p w14:paraId="4E39C1FF" w14:textId="7A279DFF" w:rsidR="00C374C8" w:rsidRDefault="00C374C8" w:rsidP="00B704D3">
      <w:pPr>
        <w:spacing w:line="276" w:lineRule="auto"/>
        <w:rPr>
          <w:rFonts w:ascii="Cambria" w:hAnsi="Cambria"/>
          <w:sz w:val="22"/>
        </w:rPr>
      </w:pPr>
      <w:r w:rsidRPr="00C5133C">
        <w:rPr>
          <w:rFonts w:ascii="Cambria" w:hAnsi="Cambria"/>
          <w:sz w:val="22"/>
        </w:rPr>
        <w:t>Nilai rata-rata (</w:t>
      </w:r>
      <w:r w:rsidRPr="00C5133C">
        <w:rPr>
          <w:rFonts w:ascii="Cambria" w:hAnsi="Cambria"/>
          <w:i/>
          <w:sz w:val="22"/>
        </w:rPr>
        <w:t>mean</w:t>
      </w:r>
      <w:r w:rsidRPr="00C5133C">
        <w:rPr>
          <w:rFonts w:ascii="Cambria" w:hAnsi="Cambria"/>
          <w:sz w:val="22"/>
        </w:rPr>
        <w:t xml:space="preserve">) merupakan angka yang mewakili dari suatu kelompok data secara keseluruhan. Nilai </w:t>
      </w:r>
      <w:r w:rsidRPr="00C5133C">
        <w:rPr>
          <w:rFonts w:ascii="Cambria" w:hAnsi="Cambria"/>
          <w:i/>
          <w:sz w:val="22"/>
        </w:rPr>
        <w:t>minimum</w:t>
      </w:r>
      <w:r w:rsidRPr="00C5133C">
        <w:rPr>
          <w:rFonts w:ascii="Cambria" w:hAnsi="Cambria"/>
          <w:sz w:val="22"/>
        </w:rPr>
        <w:t xml:space="preserve"> adalah nilai eks</w:t>
      </w:r>
      <w:r w:rsidR="00845514">
        <w:rPr>
          <w:rFonts w:ascii="Cambria" w:hAnsi="Cambria"/>
          <w:sz w:val="22"/>
        </w:rPr>
        <w:t>t</w:t>
      </w:r>
      <w:r w:rsidRPr="00C5133C">
        <w:rPr>
          <w:rFonts w:ascii="Cambria" w:hAnsi="Cambria"/>
          <w:sz w:val="22"/>
        </w:rPr>
        <w:t>rim terendah dari data</w:t>
      </w:r>
      <w:r w:rsidR="00845514">
        <w:rPr>
          <w:rFonts w:ascii="Cambria" w:hAnsi="Cambria"/>
          <w:sz w:val="22"/>
        </w:rPr>
        <w:t>,</w:t>
      </w:r>
      <w:r w:rsidRPr="00C5133C">
        <w:rPr>
          <w:rFonts w:ascii="Cambria" w:hAnsi="Cambria"/>
          <w:sz w:val="22"/>
        </w:rPr>
        <w:t xml:space="preserve"> dan nilai </w:t>
      </w:r>
      <w:r w:rsidRPr="00C5133C">
        <w:rPr>
          <w:rFonts w:ascii="Cambria" w:hAnsi="Cambria"/>
          <w:i/>
          <w:sz w:val="22"/>
        </w:rPr>
        <w:t xml:space="preserve">maximum </w:t>
      </w:r>
      <w:r w:rsidRPr="00C5133C">
        <w:rPr>
          <w:rFonts w:ascii="Cambria" w:hAnsi="Cambria"/>
          <w:sz w:val="22"/>
        </w:rPr>
        <w:t>adalah nilai eks</w:t>
      </w:r>
      <w:r w:rsidR="00845514">
        <w:rPr>
          <w:rFonts w:ascii="Cambria" w:hAnsi="Cambria"/>
          <w:sz w:val="22"/>
        </w:rPr>
        <w:t>t</w:t>
      </w:r>
      <w:r w:rsidRPr="00C5133C">
        <w:rPr>
          <w:rFonts w:ascii="Cambria" w:hAnsi="Cambria"/>
          <w:sz w:val="22"/>
        </w:rPr>
        <w:t>rim tertinggi dari data. Sementara standar deviasi merupakan sebaran data yang menunjukkan jarak titik data individu ke nilai rata-rata (</w:t>
      </w:r>
      <w:r w:rsidRPr="00C5133C">
        <w:rPr>
          <w:rFonts w:ascii="Cambria" w:hAnsi="Cambria"/>
          <w:i/>
          <w:sz w:val="22"/>
        </w:rPr>
        <w:t>mean</w:t>
      </w:r>
      <w:r w:rsidRPr="00C5133C">
        <w:rPr>
          <w:rFonts w:ascii="Cambria" w:hAnsi="Cambria"/>
          <w:sz w:val="22"/>
        </w:rPr>
        <w:t xml:space="preserve">). </w:t>
      </w:r>
    </w:p>
    <w:p w14:paraId="5C2C7D22" w14:textId="77777777" w:rsidR="00B704D3" w:rsidRPr="00C5133C" w:rsidRDefault="00B704D3" w:rsidP="00C5133C">
      <w:pPr>
        <w:spacing w:line="276" w:lineRule="auto"/>
        <w:rPr>
          <w:rFonts w:ascii="Cambria" w:hAnsi="Cambria"/>
          <w:sz w:val="22"/>
        </w:rPr>
      </w:pPr>
    </w:p>
    <w:p w14:paraId="1EB85CFA" w14:textId="31C97797" w:rsidR="00C374C8" w:rsidRPr="00B704D3" w:rsidRDefault="00C374C8" w:rsidP="00C5133C">
      <w:pPr>
        <w:pStyle w:val="Heading5"/>
        <w:spacing w:line="276" w:lineRule="auto"/>
        <w:rPr>
          <w:rFonts w:ascii="Cambria" w:hAnsi="Cambria"/>
          <w:b/>
          <w:bCs/>
          <w:sz w:val="22"/>
        </w:rPr>
      </w:pPr>
      <w:bookmarkStart w:id="12" w:name="_Toc84231593"/>
      <w:r w:rsidRPr="00B704D3">
        <w:rPr>
          <w:rFonts w:ascii="Cambria" w:hAnsi="Cambria"/>
          <w:b/>
          <w:bCs/>
          <w:sz w:val="22"/>
        </w:rPr>
        <w:t xml:space="preserve">Tabel </w:t>
      </w:r>
      <w:r w:rsidR="00770F6C" w:rsidRPr="00B704D3">
        <w:rPr>
          <w:rFonts w:ascii="Cambria" w:hAnsi="Cambria"/>
          <w:b/>
          <w:bCs/>
          <w:sz w:val="22"/>
        </w:rPr>
        <w:t>2</w:t>
      </w:r>
      <w:r w:rsidR="00B704D3">
        <w:rPr>
          <w:rFonts w:ascii="Cambria" w:hAnsi="Cambria"/>
          <w:b/>
          <w:bCs/>
          <w:sz w:val="22"/>
        </w:rPr>
        <w:t>.</w:t>
      </w:r>
      <w:r w:rsidRPr="00B704D3">
        <w:rPr>
          <w:rFonts w:ascii="Cambria" w:hAnsi="Cambria"/>
          <w:b/>
          <w:bCs/>
          <w:sz w:val="22"/>
        </w:rPr>
        <w:t xml:space="preserve"> Analisis </w:t>
      </w:r>
      <w:r w:rsidR="00951810" w:rsidRPr="00B704D3">
        <w:rPr>
          <w:rFonts w:ascii="Cambria" w:hAnsi="Cambria"/>
          <w:b/>
          <w:bCs/>
          <w:sz w:val="22"/>
        </w:rPr>
        <w:t>S</w:t>
      </w:r>
      <w:r w:rsidRPr="00B704D3">
        <w:rPr>
          <w:rFonts w:ascii="Cambria" w:hAnsi="Cambria"/>
          <w:b/>
          <w:bCs/>
          <w:sz w:val="22"/>
        </w:rPr>
        <w:t xml:space="preserve">tatistik </w:t>
      </w:r>
      <w:r w:rsidR="00951810" w:rsidRPr="00B704D3">
        <w:rPr>
          <w:rFonts w:ascii="Cambria" w:hAnsi="Cambria"/>
          <w:b/>
          <w:bCs/>
          <w:sz w:val="22"/>
        </w:rPr>
        <w:t>D</w:t>
      </w:r>
      <w:r w:rsidRPr="00B704D3">
        <w:rPr>
          <w:rFonts w:ascii="Cambria" w:hAnsi="Cambria"/>
          <w:b/>
          <w:bCs/>
          <w:sz w:val="22"/>
        </w:rPr>
        <w:t>eskriptif</w:t>
      </w:r>
      <w:bookmarkEnd w:id="12"/>
    </w:p>
    <w:p w14:paraId="4FE7D937" w14:textId="28AB847F" w:rsidR="00951810" w:rsidRPr="00C5133C" w:rsidRDefault="00951810" w:rsidP="00C5133C">
      <w:pPr>
        <w:spacing w:line="276" w:lineRule="auto"/>
        <w:ind w:firstLine="0"/>
        <w:jc w:val="center"/>
        <w:rPr>
          <w:rFonts w:ascii="Cambria" w:hAnsi="Cambria"/>
          <w:sz w:val="22"/>
        </w:rPr>
      </w:pPr>
      <w:r w:rsidRPr="00C5133C">
        <w:rPr>
          <w:rFonts w:ascii="Cambria" w:hAnsi="Cambria"/>
          <w:noProof/>
          <w:sz w:val="22"/>
          <w:lang w:val="en-US"/>
        </w:rPr>
        <w:drawing>
          <wp:inline distT="0" distB="0" distL="0" distR="0" wp14:anchorId="642492F3" wp14:editId="6A2655AF">
            <wp:extent cx="4914900" cy="1895475"/>
            <wp:effectExtent l="0" t="0" r="0" b="9525"/>
            <wp:docPr id="42" name="Picture 42" descr="A picture containing text, crossword puzz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picture containing text, crossword puzz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4900" cy="1895475"/>
                    </a:xfrm>
                    <a:prstGeom prst="rect">
                      <a:avLst/>
                    </a:prstGeom>
                    <a:noFill/>
                    <a:ln>
                      <a:noFill/>
                    </a:ln>
                  </pic:spPr>
                </pic:pic>
              </a:graphicData>
            </a:graphic>
          </wp:inline>
        </w:drawing>
      </w:r>
    </w:p>
    <w:p w14:paraId="21D3AC8D" w14:textId="6BFDA17D" w:rsidR="00C374C8" w:rsidRDefault="00C374C8" w:rsidP="00C5133C">
      <w:pPr>
        <w:spacing w:line="276" w:lineRule="auto"/>
        <w:ind w:firstLine="0"/>
        <w:jc w:val="center"/>
        <w:rPr>
          <w:rFonts w:ascii="Cambria" w:hAnsi="Cambria" w:cs="Times New Roman"/>
          <w:sz w:val="22"/>
          <w:lang w:val="en-US"/>
        </w:rPr>
      </w:pPr>
      <w:r w:rsidRPr="00C5133C">
        <w:rPr>
          <w:rFonts w:ascii="Cambria" w:hAnsi="Cambria" w:cs="Times New Roman"/>
          <w:sz w:val="22"/>
          <w:lang w:val="en-US"/>
        </w:rPr>
        <w:t xml:space="preserve">Sumber: </w:t>
      </w:r>
      <w:r w:rsidR="00B704D3">
        <w:rPr>
          <w:rFonts w:ascii="Cambria" w:hAnsi="Cambria" w:cs="Times New Roman"/>
          <w:sz w:val="22"/>
          <w:lang w:val="en-US"/>
        </w:rPr>
        <w:t>Olahan data peneliti dengan</w:t>
      </w:r>
      <w:r w:rsidRPr="00C5133C">
        <w:rPr>
          <w:rFonts w:ascii="Cambria" w:hAnsi="Cambria" w:cs="Times New Roman"/>
          <w:sz w:val="22"/>
          <w:lang w:val="en-US"/>
        </w:rPr>
        <w:t xml:space="preserve"> </w:t>
      </w:r>
      <w:r w:rsidR="00B704D3">
        <w:rPr>
          <w:rFonts w:ascii="Cambria" w:hAnsi="Cambria" w:cs="Times New Roman"/>
          <w:i/>
          <w:iCs/>
          <w:sz w:val="22"/>
          <w:lang w:val="en-US"/>
        </w:rPr>
        <w:t>E</w:t>
      </w:r>
      <w:r w:rsidRPr="00C5133C">
        <w:rPr>
          <w:rFonts w:ascii="Cambria" w:hAnsi="Cambria" w:cs="Times New Roman"/>
          <w:i/>
          <w:iCs/>
          <w:sz w:val="22"/>
          <w:lang w:val="en-US"/>
        </w:rPr>
        <w:t>views</w:t>
      </w:r>
      <w:r w:rsidRPr="00C5133C">
        <w:rPr>
          <w:rFonts w:ascii="Cambria" w:hAnsi="Cambria" w:cs="Times New Roman"/>
          <w:sz w:val="22"/>
          <w:lang w:val="en-US"/>
        </w:rPr>
        <w:t xml:space="preserve"> 9</w:t>
      </w:r>
      <w:r w:rsidR="00B704D3">
        <w:rPr>
          <w:rFonts w:ascii="Cambria" w:hAnsi="Cambria" w:cs="Times New Roman"/>
          <w:sz w:val="22"/>
          <w:lang w:val="en-US"/>
        </w:rPr>
        <w:t xml:space="preserve"> (2021)</w:t>
      </w:r>
    </w:p>
    <w:p w14:paraId="7039EF76" w14:textId="77777777" w:rsidR="00B704D3" w:rsidRPr="00C5133C" w:rsidRDefault="00B704D3" w:rsidP="00C5133C">
      <w:pPr>
        <w:spacing w:line="276" w:lineRule="auto"/>
        <w:ind w:firstLine="0"/>
        <w:jc w:val="center"/>
        <w:rPr>
          <w:rFonts w:ascii="Cambria" w:hAnsi="Cambria" w:cs="Times New Roman"/>
          <w:sz w:val="22"/>
          <w:lang w:val="en-US"/>
        </w:rPr>
      </w:pPr>
    </w:p>
    <w:p w14:paraId="72AD5933" w14:textId="7F446BFC" w:rsidR="00C374C8" w:rsidRPr="00C5133C" w:rsidRDefault="00C374C8" w:rsidP="00B704D3">
      <w:pPr>
        <w:pStyle w:val="Heading2"/>
        <w:spacing w:after="200" w:line="276" w:lineRule="auto"/>
        <w:rPr>
          <w:rFonts w:ascii="Cambria" w:hAnsi="Cambria"/>
          <w:sz w:val="22"/>
          <w:szCs w:val="22"/>
        </w:rPr>
      </w:pPr>
      <w:bookmarkStart w:id="13" w:name="_Toc84232425"/>
      <w:r w:rsidRPr="00C5133C">
        <w:rPr>
          <w:rFonts w:ascii="Cambria" w:hAnsi="Cambria"/>
          <w:sz w:val="22"/>
          <w:szCs w:val="22"/>
        </w:rPr>
        <w:t>Pemilihan Model Regresi</w:t>
      </w:r>
      <w:bookmarkEnd w:id="13"/>
    </w:p>
    <w:p w14:paraId="7F43ED37" w14:textId="79A462AC" w:rsidR="00C374C8" w:rsidRDefault="00C374C8" w:rsidP="00C5133C">
      <w:pPr>
        <w:spacing w:line="276" w:lineRule="auto"/>
        <w:rPr>
          <w:rFonts w:ascii="Cambria" w:hAnsi="Cambria" w:cs="Times New Roman"/>
          <w:i/>
          <w:sz w:val="22"/>
          <w:lang w:val="en-US"/>
        </w:rPr>
      </w:pPr>
      <w:r w:rsidRPr="00C5133C">
        <w:rPr>
          <w:rFonts w:ascii="Cambria" w:hAnsi="Cambria" w:cs="Times New Roman"/>
          <w:sz w:val="22"/>
          <w:lang w:val="en-US"/>
        </w:rPr>
        <w:t xml:space="preserve">Sebelum analisis regresi, perlu dilakukan estimasi model regresi data panel untuk menentukan model terbaik dalam menjelaskan data yang diteliti. </w:t>
      </w:r>
      <w:r w:rsidR="00562456" w:rsidRPr="00C5133C">
        <w:rPr>
          <w:rFonts w:ascii="Cambria" w:hAnsi="Cambria" w:cs="Times New Roman"/>
          <w:sz w:val="22"/>
          <w:lang w:val="en-US"/>
        </w:rPr>
        <w:t>P</w:t>
      </w:r>
      <w:r w:rsidR="000B4A27" w:rsidRPr="00C5133C">
        <w:rPr>
          <w:rFonts w:ascii="Cambria" w:hAnsi="Cambria" w:cs="Times New Roman"/>
          <w:sz w:val="22"/>
        </w:rPr>
        <w:t xml:space="preserve">emilihan regresi dilakukan sesuai dengan </w:t>
      </w:r>
      <w:r w:rsidR="000B4A27" w:rsidRPr="00C5133C">
        <w:rPr>
          <w:rFonts w:ascii="Cambria" w:hAnsi="Cambria" w:cs="Times New Roman"/>
          <w:sz w:val="22"/>
        </w:rPr>
        <w:fldChar w:fldCharType="begin" w:fldLock="1"/>
      </w:r>
      <w:r w:rsidR="000B4A27" w:rsidRPr="00C5133C">
        <w:rPr>
          <w:rFonts w:ascii="Cambria" w:hAnsi="Cambria" w:cs="Times New Roman"/>
          <w:sz w:val="22"/>
        </w:rPr>
        <w:instrText>ADDIN CSL_CITATION {"citationItems":[{"id":"ITEM-1","itemData":{"ISSN":"08856230","abstract":"Effective strategies are urgently required to reduce the prevalence of obesity during growth. Determining which strategies are most successful should also include analysis of their relative costs. To date, few obesity prevention studies in children have reported data concerning cost-effectiveness. The aim of this study was to assess the costs and health benefits of implementing the APPLE (A Pilot Program for Lifestyle and Exercise) project, a 2-year controlled community-based obesity prevention initiative utilizing activity coordinators (ACs) in schools and nutrition promotion in New Zealand children (5-12 years). The marginal costs of the project in 2006 prices were estimated and compared with the kilograms (kg) of weight-gain prevented for children in the intervention relative to the control arm. The children's health-related quality of life (HRQoL) was also measured using the Health Utilities Index (HUI). The total project cost was NZ357,490, or NZ1,281 per intervention child for 2 years (NZ1 = US0.67 = UK0.35 = EUR \\[euro]0.52). Weight z-score was reduced by 0.18 (0.13, 0.22) units at 2 years and 0.17 (0.11, 0.23) units at 4 years in intervention relative to control children. Mean HUI values did not differ between intervention and control participants. The reduction in weight z-score observed is equivalent to 2.0 kg of weight-gain prevented at 15 years of age. The relatively simple intervention approach employed by the APPLE project was successful in significantly reducing the rate of excessive weight gain in children, with implementation costs of NZ664-1,708 per kg of weight-gain prevented over 4 years. Effective strategies are urgently required to reduce the prevalence of obesity during growth. Determining which strategies are most successful should also include analysis of their relative costs. To date, few obesity prevention studies in children have reported data concerning cost-effectiveness. The aim of this study was to assess the costs and health benefits of implementing the APPLE (A Pilot Program for Lifestyle and Exercise) project, a 2-year controlled community-based obesity prevention initiative utilizing activity coordinators (ACs) in schools and nutrition promotion in New Zealand children (5-12 years). The marginal costs of the project in 2006 prices were estimated and compared with the kilograms (kg) of weight-gain prevented for children in the intervention relative to the control arm. The children's health-related quality of life (HRQo…","author":[{"dropping-particle":"","family":"Gujarati","given":"Damodar N.","non-dropping-particle":"","parse-names":false,"suffix":""}],"container-title":"Salemba Empat","id":"ITEM-1","issued":{"date-parts":[["2012"]]},"title":"Dasar-dasar Ekonometrika book 2","type":"book"},"uris":["http://www.mendeley.com/documents/?uuid=248de98c-da97-34cd-8320-63be01f62a10","http://www.mendeley.com/documents/?uuid=628ebeed-ca50-4a5c-9f18-8386ac650143"]}],"mendeley":{"formattedCitation":"(Gujarati, 2012)","manualFormatting":"Gujarati (2012)","plainTextFormattedCitation":"(Gujarati, 2012)","previouslyFormattedCitation":"(Gujarati, 2012)"},"properties":{"noteIndex":0},"schema":"https://github.com/citation-style-language/schema/raw/master/csl-citation.json"}</w:instrText>
      </w:r>
      <w:r w:rsidR="000B4A27" w:rsidRPr="00C5133C">
        <w:rPr>
          <w:rFonts w:ascii="Cambria" w:hAnsi="Cambria" w:cs="Times New Roman"/>
          <w:sz w:val="22"/>
        </w:rPr>
        <w:fldChar w:fldCharType="separate"/>
      </w:r>
      <w:r w:rsidR="000B4A27" w:rsidRPr="00C5133C">
        <w:rPr>
          <w:rFonts w:ascii="Cambria" w:hAnsi="Cambria" w:cs="Times New Roman"/>
          <w:noProof/>
          <w:sz w:val="22"/>
        </w:rPr>
        <w:t>Gujarati (2012)</w:t>
      </w:r>
      <w:r w:rsidR="000B4A27" w:rsidRPr="00C5133C">
        <w:rPr>
          <w:rFonts w:ascii="Cambria" w:hAnsi="Cambria" w:cs="Times New Roman"/>
          <w:sz w:val="22"/>
          <w:lang w:val="id-ID"/>
        </w:rPr>
        <w:fldChar w:fldCharType="end"/>
      </w:r>
      <w:r w:rsidR="000B4A27" w:rsidRPr="00C5133C">
        <w:rPr>
          <w:rFonts w:ascii="Cambria" w:hAnsi="Cambria" w:cs="Times New Roman"/>
          <w:sz w:val="22"/>
          <w:lang w:val="en-US"/>
        </w:rPr>
        <w:t xml:space="preserve">. </w:t>
      </w:r>
      <w:r w:rsidRPr="00C5133C">
        <w:rPr>
          <w:rFonts w:ascii="Cambria" w:hAnsi="Cambria" w:cs="Times New Roman"/>
          <w:sz w:val="22"/>
          <w:lang w:val="en-US"/>
        </w:rPr>
        <w:t xml:space="preserve">Terdapat tiga parameter model yang ditawarkan, yaitu </w:t>
      </w:r>
      <w:r w:rsidRPr="00C5133C">
        <w:rPr>
          <w:rFonts w:ascii="Cambria" w:hAnsi="Cambria" w:cs="Times New Roman"/>
          <w:i/>
          <w:sz w:val="22"/>
          <w:lang w:val="en-US"/>
        </w:rPr>
        <w:t xml:space="preserve">Common Effect Model </w:t>
      </w:r>
      <w:r w:rsidRPr="00C5133C">
        <w:rPr>
          <w:rFonts w:ascii="Cambria" w:hAnsi="Cambria" w:cs="Times New Roman"/>
          <w:sz w:val="22"/>
          <w:lang w:val="en-US"/>
        </w:rPr>
        <w:t>(CEM)/</w:t>
      </w:r>
      <w:r w:rsidRPr="00C5133C">
        <w:rPr>
          <w:rFonts w:ascii="Cambria" w:hAnsi="Cambria" w:cs="Times New Roman"/>
          <w:i/>
          <w:sz w:val="22"/>
          <w:lang w:val="en-US"/>
        </w:rPr>
        <w:t>Ordinary Least Square</w:t>
      </w:r>
      <w:r w:rsidR="00172514" w:rsidRPr="00C5133C">
        <w:rPr>
          <w:rFonts w:ascii="Cambria" w:hAnsi="Cambria" w:cs="Times New Roman"/>
          <w:i/>
          <w:sz w:val="22"/>
          <w:lang w:val="en-US"/>
        </w:rPr>
        <w:t xml:space="preserve"> </w:t>
      </w:r>
      <w:r w:rsidRPr="00C5133C">
        <w:rPr>
          <w:rFonts w:ascii="Cambria" w:hAnsi="Cambria" w:cs="Times New Roman"/>
          <w:sz w:val="22"/>
          <w:lang w:val="en-US"/>
        </w:rPr>
        <w:t xml:space="preserve">(OLS), </w:t>
      </w:r>
      <w:r w:rsidRPr="00C5133C">
        <w:rPr>
          <w:rFonts w:ascii="Cambria" w:hAnsi="Cambria" w:cs="Times New Roman"/>
          <w:i/>
          <w:sz w:val="22"/>
          <w:lang w:val="en-US"/>
        </w:rPr>
        <w:t>Fixed Effect Model</w:t>
      </w:r>
      <w:r w:rsidRPr="00C5133C">
        <w:rPr>
          <w:rFonts w:ascii="Cambria" w:hAnsi="Cambria" w:cs="Times New Roman"/>
          <w:sz w:val="22"/>
          <w:lang w:val="en-US"/>
        </w:rPr>
        <w:t xml:space="preserve"> (FEM), dan </w:t>
      </w:r>
      <w:r w:rsidRPr="00C5133C">
        <w:rPr>
          <w:rFonts w:ascii="Cambria" w:hAnsi="Cambria" w:cs="Times New Roman"/>
          <w:i/>
          <w:sz w:val="22"/>
          <w:lang w:val="en-US"/>
        </w:rPr>
        <w:t>Random Effect Model</w:t>
      </w:r>
      <w:r w:rsidRPr="00C5133C">
        <w:rPr>
          <w:rFonts w:ascii="Cambria" w:hAnsi="Cambria" w:cs="Times New Roman"/>
          <w:sz w:val="22"/>
          <w:lang w:val="en-US"/>
        </w:rPr>
        <w:t xml:space="preserve"> (REM). Untuk dapat menentukan model terbaik yang akan digunakan, perlu dilakukan tiga pengujian, yaitu uji </w:t>
      </w:r>
      <w:r w:rsidRPr="00C5133C">
        <w:rPr>
          <w:rFonts w:ascii="Cambria" w:hAnsi="Cambria" w:cs="Times New Roman"/>
          <w:i/>
          <w:sz w:val="22"/>
          <w:lang w:val="en-US"/>
        </w:rPr>
        <w:t>chow</w:t>
      </w:r>
      <w:r w:rsidRPr="00C5133C">
        <w:rPr>
          <w:rFonts w:ascii="Cambria" w:hAnsi="Cambria" w:cs="Times New Roman"/>
          <w:sz w:val="22"/>
          <w:lang w:val="en-US"/>
        </w:rPr>
        <w:t xml:space="preserve">, uji </w:t>
      </w:r>
      <w:r w:rsidRPr="00C5133C">
        <w:rPr>
          <w:rFonts w:ascii="Cambria" w:hAnsi="Cambria" w:cs="Times New Roman"/>
          <w:i/>
          <w:sz w:val="22"/>
          <w:lang w:val="en-US"/>
        </w:rPr>
        <w:t>langrange multiplier,</w:t>
      </w:r>
      <w:r w:rsidRPr="00C5133C">
        <w:rPr>
          <w:rFonts w:ascii="Cambria" w:hAnsi="Cambria" w:cs="Times New Roman"/>
          <w:sz w:val="22"/>
          <w:lang w:val="en-US"/>
        </w:rPr>
        <w:t xml:space="preserve"> dan uji </w:t>
      </w:r>
      <w:r w:rsidRPr="00C5133C">
        <w:rPr>
          <w:rFonts w:ascii="Cambria" w:hAnsi="Cambria" w:cs="Times New Roman"/>
          <w:i/>
          <w:sz w:val="22"/>
          <w:lang w:val="en-US"/>
        </w:rPr>
        <w:t>hausman.</w:t>
      </w:r>
    </w:p>
    <w:p w14:paraId="326A5466" w14:textId="77777777" w:rsidR="00B704D3" w:rsidRPr="00C5133C" w:rsidRDefault="00B704D3" w:rsidP="00C5133C">
      <w:pPr>
        <w:spacing w:line="276" w:lineRule="auto"/>
        <w:rPr>
          <w:rFonts w:ascii="Cambria" w:hAnsi="Cambria" w:cs="Times New Roman"/>
          <w:sz w:val="22"/>
          <w:lang w:val="en-US"/>
        </w:rPr>
      </w:pPr>
    </w:p>
    <w:p w14:paraId="7B289C07" w14:textId="1F4A84AE" w:rsidR="00C374C8" w:rsidRPr="00B704D3" w:rsidRDefault="00C374C8" w:rsidP="00C5133C">
      <w:pPr>
        <w:pStyle w:val="Heading5"/>
        <w:spacing w:line="276" w:lineRule="auto"/>
        <w:rPr>
          <w:rFonts w:ascii="Cambria" w:hAnsi="Cambria"/>
          <w:b/>
          <w:bCs/>
          <w:noProof/>
          <w:sz w:val="22"/>
          <w:lang w:val="en-US"/>
        </w:rPr>
      </w:pPr>
      <w:bookmarkStart w:id="14" w:name="_Toc84231595"/>
      <w:r w:rsidRPr="00B704D3">
        <w:rPr>
          <w:rFonts w:ascii="Cambria" w:hAnsi="Cambria"/>
          <w:b/>
          <w:bCs/>
          <w:sz w:val="22"/>
          <w:lang w:val="en-US"/>
        </w:rPr>
        <w:t xml:space="preserve">Tabel </w:t>
      </w:r>
      <w:r w:rsidR="00770F6C" w:rsidRPr="00B704D3">
        <w:rPr>
          <w:rFonts w:ascii="Cambria" w:hAnsi="Cambria"/>
          <w:b/>
          <w:bCs/>
          <w:sz w:val="22"/>
          <w:lang w:val="en-US"/>
        </w:rPr>
        <w:t>3</w:t>
      </w:r>
      <w:r w:rsidR="00B704D3">
        <w:rPr>
          <w:rFonts w:ascii="Cambria" w:hAnsi="Cambria"/>
          <w:b/>
          <w:bCs/>
          <w:sz w:val="22"/>
          <w:lang w:val="en-US"/>
        </w:rPr>
        <w:t>.</w:t>
      </w:r>
      <w:r w:rsidR="00770F6C" w:rsidRPr="00B704D3">
        <w:rPr>
          <w:rFonts w:ascii="Cambria" w:hAnsi="Cambria"/>
          <w:b/>
          <w:bCs/>
          <w:sz w:val="22"/>
          <w:lang w:val="en-US"/>
        </w:rPr>
        <w:t xml:space="preserve"> </w:t>
      </w:r>
      <w:r w:rsidRPr="00B704D3">
        <w:rPr>
          <w:rFonts w:ascii="Cambria" w:hAnsi="Cambria"/>
          <w:b/>
          <w:bCs/>
          <w:sz w:val="22"/>
          <w:lang w:val="en-US"/>
        </w:rPr>
        <w:t xml:space="preserve">Hasil Uji </w:t>
      </w:r>
      <w:r w:rsidRPr="00B704D3">
        <w:rPr>
          <w:rFonts w:ascii="Cambria" w:hAnsi="Cambria"/>
          <w:b/>
          <w:bCs/>
          <w:i/>
          <w:sz w:val="22"/>
          <w:lang w:val="en-US"/>
        </w:rPr>
        <w:t>Chow</w:t>
      </w:r>
      <w:bookmarkEnd w:id="14"/>
    </w:p>
    <w:p w14:paraId="010A8B52" w14:textId="2564E116" w:rsidR="00951810" w:rsidRPr="00C5133C" w:rsidRDefault="00951810" w:rsidP="00C5133C">
      <w:pPr>
        <w:spacing w:line="276" w:lineRule="auto"/>
        <w:ind w:firstLine="0"/>
        <w:jc w:val="center"/>
        <w:rPr>
          <w:rFonts w:ascii="Cambria" w:hAnsi="Cambria"/>
          <w:sz w:val="22"/>
          <w:lang w:val="en-US"/>
        </w:rPr>
      </w:pPr>
      <w:r w:rsidRPr="00C5133C">
        <w:rPr>
          <w:rFonts w:ascii="Cambria" w:hAnsi="Cambria"/>
          <w:noProof/>
          <w:sz w:val="22"/>
          <w:lang w:val="en-US"/>
        </w:rPr>
        <w:drawing>
          <wp:inline distT="0" distB="0" distL="0" distR="0" wp14:anchorId="7593E5E9" wp14:editId="45E815AA">
            <wp:extent cx="4448175" cy="876300"/>
            <wp:effectExtent l="0" t="0" r="9525" b="0"/>
            <wp:docPr id="40" name="Picture 40"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Table&#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8175" cy="876300"/>
                    </a:xfrm>
                    <a:prstGeom prst="rect">
                      <a:avLst/>
                    </a:prstGeom>
                    <a:noFill/>
                    <a:ln>
                      <a:noFill/>
                    </a:ln>
                  </pic:spPr>
                </pic:pic>
              </a:graphicData>
            </a:graphic>
          </wp:inline>
        </w:drawing>
      </w:r>
    </w:p>
    <w:p w14:paraId="5FF6C256" w14:textId="53317F02" w:rsidR="00C374C8" w:rsidRDefault="00B704D3" w:rsidP="00B704D3">
      <w:pPr>
        <w:spacing w:line="276" w:lineRule="auto"/>
        <w:ind w:firstLine="0"/>
        <w:jc w:val="center"/>
        <w:rPr>
          <w:rFonts w:ascii="Cambria" w:hAnsi="Cambria" w:cs="Times New Roman"/>
          <w:sz w:val="22"/>
          <w:lang w:val="en-US"/>
        </w:rPr>
      </w:pPr>
      <w:r w:rsidRPr="00C5133C">
        <w:rPr>
          <w:rFonts w:ascii="Cambria" w:hAnsi="Cambria" w:cs="Times New Roman"/>
          <w:sz w:val="22"/>
          <w:lang w:val="en-US"/>
        </w:rPr>
        <w:t xml:space="preserve">Sumber: </w:t>
      </w:r>
      <w:r>
        <w:rPr>
          <w:rFonts w:ascii="Cambria" w:hAnsi="Cambria" w:cs="Times New Roman"/>
          <w:sz w:val="22"/>
          <w:lang w:val="en-US"/>
        </w:rPr>
        <w:t>Olahan data peneliti dengan</w:t>
      </w:r>
      <w:r w:rsidRPr="00C5133C">
        <w:rPr>
          <w:rFonts w:ascii="Cambria" w:hAnsi="Cambria" w:cs="Times New Roman"/>
          <w:sz w:val="22"/>
          <w:lang w:val="en-US"/>
        </w:rPr>
        <w:t xml:space="preserve"> </w:t>
      </w:r>
      <w:r>
        <w:rPr>
          <w:rFonts w:ascii="Cambria" w:hAnsi="Cambria" w:cs="Times New Roman"/>
          <w:i/>
          <w:iCs/>
          <w:sz w:val="22"/>
          <w:lang w:val="en-US"/>
        </w:rPr>
        <w:t>E</w:t>
      </w:r>
      <w:r w:rsidRPr="00C5133C">
        <w:rPr>
          <w:rFonts w:ascii="Cambria" w:hAnsi="Cambria" w:cs="Times New Roman"/>
          <w:i/>
          <w:iCs/>
          <w:sz w:val="22"/>
          <w:lang w:val="en-US"/>
        </w:rPr>
        <w:t>views</w:t>
      </w:r>
      <w:r w:rsidRPr="00C5133C">
        <w:rPr>
          <w:rFonts w:ascii="Cambria" w:hAnsi="Cambria" w:cs="Times New Roman"/>
          <w:sz w:val="22"/>
          <w:lang w:val="en-US"/>
        </w:rPr>
        <w:t xml:space="preserve"> 9</w:t>
      </w:r>
      <w:r>
        <w:rPr>
          <w:rFonts w:ascii="Cambria" w:hAnsi="Cambria" w:cs="Times New Roman"/>
          <w:sz w:val="22"/>
          <w:lang w:val="en-US"/>
        </w:rPr>
        <w:t xml:space="preserve"> (2021)</w:t>
      </w:r>
    </w:p>
    <w:p w14:paraId="3BE1086A" w14:textId="77777777" w:rsidR="00B704D3" w:rsidRPr="00C5133C" w:rsidRDefault="00B704D3" w:rsidP="00C5133C">
      <w:pPr>
        <w:spacing w:line="276" w:lineRule="auto"/>
        <w:ind w:firstLine="0"/>
        <w:jc w:val="center"/>
        <w:rPr>
          <w:rFonts w:ascii="Cambria" w:hAnsi="Cambria" w:cs="Times New Roman"/>
          <w:sz w:val="22"/>
          <w:lang w:val="en-US"/>
        </w:rPr>
      </w:pPr>
    </w:p>
    <w:p w14:paraId="188A3895" w14:textId="0D56DDF0" w:rsidR="00C374C8" w:rsidRPr="00C5133C" w:rsidRDefault="00C374C8" w:rsidP="00C5133C">
      <w:pPr>
        <w:spacing w:line="276" w:lineRule="auto"/>
        <w:rPr>
          <w:rFonts w:ascii="Cambria" w:hAnsi="Cambria"/>
          <w:sz w:val="22"/>
          <w:lang w:val="en-US"/>
        </w:rPr>
      </w:pPr>
      <w:r w:rsidRPr="00C5133C">
        <w:rPr>
          <w:rFonts w:ascii="Cambria" w:hAnsi="Cambria"/>
          <w:sz w:val="22"/>
          <w:lang w:val="en-US"/>
        </w:rPr>
        <w:t xml:space="preserve">Uji </w:t>
      </w:r>
      <w:r w:rsidRPr="00B704D3">
        <w:rPr>
          <w:rFonts w:ascii="Cambria" w:hAnsi="Cambria"/>
          <w:i/>
          <w:iCs/>
          <w:sz w:val="22"/>
          <w:lang w:val="en-US"/>
        </w:rPr>
        <w:t>chow</w:t>
      </w:r>
      <w:r w:rsidRPr="00C5133C">
        <w:rPr>
          <w:rFonts w:ascii="Cambria" w:hAnsi="Cambria"/>
          <w:sz w:val="22"/>
          <w:lang w:val="en-US"/>
        </w:rPr>
        <w:t xml:space="preserve"> digunakan untuk menentukan model terbaik antara model CEM dan model FEM. Penelitian ini menggunakan tingkat signifikansi (α) 0,05. Untuk menentukan model yang dipilih, nilai Prob &gt; F hasil pengujian dibandingkan dengan α. Hipotesis dalam pengujian ini adalah:</w:t>
      </w:r>
    </w:p>
    <w:p w14:paraId="09A96FB8" w14:textId="08D0CA08" w:rsidR="00C374C8" w:rsidRPr="00C5133C" w:rsidRDefault="00C374C8" w:rsidP="00C5133C">
      <w:pPr>
        <w:spacing w:line="276" w:lineRule="auto"/>
        <w:jc w:val="left"/>
        <w:rPr>
          <w:rFonts w:ascii="Cambria" w:hAnsi="Cambria" w:cs="Times New Roman"/>
          <w:sz w:val="22"/>
          <w:lang w:val="en-US"/>
        </w:rPr>
      </w:pPr>
      <w:r w:rsidRPr="00C5133C">
        <w:rPr>
          <w:rFonts w:ascii="Cambria" w:hAnsi="Cambria" w:cs="Times New Roman"/>
          <w:sz w:val="22"/>
          <w:lang w:val="en-US"/>
        </w:rPr>
        <w:t>H</w:t>
      </w:r>
      <w:r w:rsidRPr="00C5133C">
        <w:rPr>
          <w:rFonts w:ascii="Cambria" w:hAnsi="Cambria" w:cs="Times New Roman"/>
          <w:sz w:val="22"/>
          <w:vertAlign w:val="subscript"/>
          <w:lang w:val="en-US"/>
        </w:rPr>
        <w:t>0</w:t>
      </w:r>
      <w:r w:rsidR="00B704D3">
        <w:rPr>
          <w:rFonts w:ascii="Cambria" w:hAnsi="Cambria" w:cs="Times New Roman"/>
          <w:sz w:val="22"/>
          <w:vertAlign w:val="subscript"/>
          <w:lang w:val="en-US"/>
        </w:rPr>
        <w:tab/>
      </w:r>
      <w:r w:rsidRPr="00C5133C">
        <w:rPr>
          <w:rFonts w:ascii="Cambria" w:hAnsi="Cambria" w:cs="Times New Roman"/>
          <w:sz w:val="22"/>
          <w:lang w:val="en-US"/>
        </w:rPr>
        <w:t>= Model CEM</w:t>
      </w:r>
    </w:p>
    <w:p w14:paraId="442F932D" w14:textId="4CE35126" w:rsidR="00C374C8" w:rsidRPr="00C5133C" w:rsidRDefault="00C374C8" w:rsidP="00C5133C">
      <w:pPr>
        <w:spacing w:line="276" w:lineRule="auto"/>
        <w:jc w:val="left"/>
        <w:rPr>
          <w:rFonts w:ascii="Cambria" w:hAnsi="Cambria" w:cs="Times New Roman"/>
          <w:sz w:val="22"/>
          <w:lang w:val="en-US"/>
        </w:rPr>
      </w:pPr>
      <w:r w:rsidRPr="00C5133C">
        <w:rPr>
          <w:rFonts w:ascii="Cambria" w:hAnsi="Cambria" w:cs="Times New Roman"/>
          <w:sz w:val="22"/>
          <w:lang w:val="en-US"/>
        </w:rPr>
        <w:t>H</w:t>
      </w:r>
      <w:r w:rsidRPr="00C5133C">
        <w:rPr>
          <w:rFonts w:ascii="Cambria" w:hAnsi="Cambria" w:cs="Times New Roman"/>
          <w:sz w:val="22"/>
          <w:vertAlign w:val="subscript"/>
          <w:lang w:val="en-US"/>
        </w:rPr>
        <w:t>1</w:t>
      </w:r>
      <w:r w:rsidR="00B704D3">
        <w:rPr>
          <w:rFonts w:ascii="Cambria" w:hAnsi="Cambria" w:cs="Times New Roman"/>
          <w:sz w:val="22"/>
          <w:vertAlign w:val="subscript"/>
          <w:lang w:val="en-US"/>
        </w:rPr>
        <w:tab/>
      </w:r>
      <w:r w:rsidRPr="00C5133C">
        <w:rPr>
          <w:rFonts w:ascii="Cambria" w:hAnsi="Cambria" w:cs="Times New Roman"/>
          <w:sz w:val="22"/>
          <w:lang w:val="en-US"/>
        </w:rPr>
        <w:t>= Model FEM</w:t>
      </w:r>
    </w:p>
    <w:p w14:paraId="702DFB10" w14:textId="473D5026" w:rsidR="00C374C8" w:rsidRDefault="00C374C8" w:rsidP="00C5133C">
      <w:pPr>
        <w:spacing w:line="276" w:lineRule="auto"/>
        <w:rPr>
          <w:rFonts w:ascii="Cambria" w:hAnsi="Cambria" w:cs="Times New Roman"/>
          <w:i/>
          <w:sz w:val="22"/>
          <w:lang w:val="en-US"/>
        </w:rPr>
      </w:pPr>
      <w:r w:rsidRPr="00C5133C">
        <w:rPr>
          <w:rFonts w:ascii="Cambria" w:hAnsi="Cambria" w:cs="Times New Roman"/>
          <w:sz w:val="22"/>
          <w:lang w:val="en-US"/>
        </w:rPr>
        <w:lastRenderedPageBreak/>
        <w:t>Gagal Tolak H</w:t>
      </w:r>
      <w:r w:rsidRPr="00C5133C">
        <w:rPr>
          <w:rFonts w:ascii="Cambria" w:hAnsi="Cambria" w:cs="Times New Roman"/>
          <w:sz w:val="22"/>
          <w:vertAlign w:val="subscript"/>
          <w:lang w:val="en-US"/>
        </w:rPr>
        <w:t>0</w:t>
      </w:r>
      <w:r w:rsidRPr="00C5133C">
        <w:rPr>
          <w:rFonts w:ascii="Cambria" w:hAnsi="Cambria" w:cs="Times New Roman"/>
          <w:sz w:val="22"/>
          <w:lang w:val="en-US"/>
        </w:rPr>
        <w:t xml:space="preserve"> karena prob &gt; α sehingga model yang didapatkan adalah model CEM. Kemudian dilakukan Uji </w:t>
      </w:r>
      <w:r w:rsidRPr="00C5133C">
        <w:rPr>
          <w:rFonts w:ascii="Cambria" w:hAnsi="Cambria" w:cs="Times New Roman"/>
          <w:i/>
          <w:sz w:val="22"/>
          <w:lang w:val="en-US"/>
        </w:rPr>
        <w:t>Langrange Multiplier</w:t>
      </w:r>
      <w:r w:rsidR="007E3F31" w:rsidRPr="00C5133C">
        <w:rPr>
          <w:rFonts w:ascii="Cambria" w:hAnsi="Cambria" w:cs="Times New Roman"/>
          <w:i/>
          <w:sz w:val="22"/>
          <w:lang w:val="en-US"/>
        </w:rPr>
        <w:t>.</w:t>
      </w:r>
    </w:p>
    <w:p w14:paraId="1638AEC1" w14:textId="77777777" w:rsidR="00143894" w:rsidRPr="00C5133C" w:rsidRDefault="00143894" w:rsidP="00C5133C">
      <w:pPr>
        <w:spacing w:line="276" w:lineRule="auto"/>
        <w:rPr>
          <w:rFonts w:ascii="Cambria" w:hAnsi="Cambria" w:cs="Times New Roman"/>
          <w:i/>
          <w:sz w:val="22"/>
          <w:lang w:val="en-US"/>
        </w:rPr>
      </w:pPr>
    </w:p>
    <w:p w14:paraId="030799A7" w14:textId="1794D9A3" w:rsidR="00C374C8" w:rsidRPr="00143894" w:rsidRDefault="00C374C8" w:rsidP="00C5133C">
      <w:pPr>
        <w:pStyle w:val="Heading5"/>
        <w:spacing w:line="276" w:lineRule="auto"/>
        <w:rPr>
          <w:rFonts w:ascii="Cambria" w:hAnsi="Cambria"/>
          <w:b/>
          <w:bCs/>
          <w:noProof/>
          <w:sz w:val="22"/>
          <w:lang w:val="en-US"/>
        </w:rPr>
      </w:pPr>
      <w:bookmarkStart w:id="15" w:name="_Toc84231596"/>
      <w:r w:rsidRPr="00143894">
        <w:rPr>
          <w:rFonts w:ascii="Cambria" w:hAnsi="Cambria"/>
          <w:b/>
          <w:bCs/>
          <w:sz w:val="22"/>
          <w:lang w:val="en-US"/>
        </w:rPr>
        <w:t xml:space="preserve">Tabel </w:t>
      </w:r>
      <w:r w:rsidR="00770F6C" w:rsidRPr="00143894">
        <w:rPr>
          <w:rFonts w:ascii="Cambria" w:hAnsi="Cambria"/>
          <w:b/>
          <w:bCs/>
          <w:sz w:val="22"/>
          <w:lang w:val="en-US"/>
        </w:rPr>
        <w:t>4</w:t>
      </w:r>
      <w:r w:rsidR="00143894">
        <w:rPr>
          <w:rFonts w:ascii="Cambria" w:hAnsi="Cambria"/>
          <w:b/>
          <w:bCs/>
          <w:sz w:val="22"/>
          <w:lang w:val="en-US"/>
        </w:rPr>
        <w:t>.</w:t>
      </w:r>
      <w:r w:rsidRPr="00143894">
        <w:rPr>
          <w:rFonts w:ascii="Cambria" w:hAnsi="Cambria"/>
          <w:b/>
          <w:bCs/>
          <w:sz w:val="22"/>
          <w:lang w:val="en-US"/>
        </w:rPr>
        <w:t xml:space="preserve"> Hasil Uji </w:t>
      </w:r>
      <w:r w:rsidRPr="00143894">
        <w:rPr>
          <w:rFonts w:ascii="Cambria" w:hAnsi="Cambria"/>
          <w:b/>
          <w:bCs/>
          <w:i/>
          <w:sz w:val="22"/>
          <w:lang w:val="en-US"/>
        </w:rPr>
        <w:t>Langrange Multiplier</w:t>
      </w:r>
      <w:bookmarkEnd w:id="15"/>
    </w:p>
    <w:p w14:paraId="63FD385B" w14:textId="70371D34" w:rsidR="00951810" w:rsidRPr="00C5133C" w:rsidRDefault="00951810" w:rsidP="00143894">
      <w:pPr>
        <w:spacing w:line="276" w:lineRule="auto"/>
        <w:ind w:firstLine="0"/>
        <w:jc w:val="center"/>
        <w:rPr>
          <w:rFonts w:ascii="Cambria" w:hAnsi="Cambria"/>
          <w:sz w:val="22"/>
          <w:lang w:val="en-US"/>
        </w:rPr>
      </w:pPr>
      <w:r w:rsidRPr="00C5133C">
        <w:rPr>
          <w:rFonts w:ascii="Cambria" w:hAnsi="Cambria"/>
          <w:noProof/>
          <w:sz w:val="22"/>
          <w:lang w:val="en-US"/>
        </w:rPr>
        <w:drawing>
          <wp:inline distT="0" distB="0" distL="0" distR="0" wp14:anchorId="21EBA45D" wp14:editId="680D38E8">
            <wp:extent cx="5038725" cy="1428750"/>
            <wp:effectExtent l="19050" t="19050" r="28575" b="19050"/>
            <wp:docPr id="39" name="Picture 3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Tabl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725" cy="1428750"/>
                    </a:xfrm>
                    <a:prstGeom prst="rect">
                      <a:avLst/>
                    </a:prstGeom>
                    <a:noFill/>
                    <a:ln>
                      <a:solidFill>
                        <a:schemeClr val="tx1"/>
                      </a:solidFill>
                    </a:ln>
                  </pic:spPr>
                </pic:pic>
              </a:graphicData>
            </a:graphic>
          </wp:inline>
        </w:drawing>
      </w:r>
    </w:p>
    <w:p w14:paraId="4CE41187" w14:textId="77777777" w:rsidR="00143894" w:rsidRDefault="00143894" w:rsidP="00143894">
      <w:pPr>
        <w:spacing w:line="276" w:lineRule="auto"/>
        <w:ind w:firstLine="0"/>
        <w:jc w:val="center"/>
        <w:rPr>
          <w:rFonts w:ascii="Cambria" w:hAnsi="Cambria" w:cs="Times New Roman"/>
          <w:sz w:val="22"/>
          <w:lang w:val="en-US"/>
        </w:rPr>
      </w:pPr>
      <w:r w:rsidRPr="00C5133C">
        <w:rPr>
          <w:rFonts w:ascii="Cambria" w:hAnsi="Cambria" w:cs="Times New Roman"/>
          <w:sz w:val="22"/>
          <w:lang w:val="en-US"/>
        </w:rPr>
        <w:t xml:space="preserve">Sumber: </w:t>
      </w:r>
      <w:r>
        <w:rPr>
          <w:rFonts w:ascii="Cambria" w:hAnsi="Cambria" w:cs="Times New Roman"/>
          <w:sz w:val="22"/>
          <w:lang w:val="en-US"/>
        </w:rPr>
        <w:t>Olahan data peneliti dengan</w:t>
      </w:r>
      <w:r w:rsidRPr="00C5133C">
        <w:rPr>
          <w:rFonts w:ascii="Cambria" w:hAnsi="Cambria" w:cs="Times New Roman"/>
          <w:sz w:val="22"/>
          <w:lang w:val="en-US"/>
        </w:rPr>
        <w:t xml:space="preserve"> </w:t>
      </w:r>
      <w:r>
        <w:rPr>
          <w:rFonts w:ascii="Cambria" w:hAnsi="Cambria" w:cs="Times New Roman"/>
          <w:i/>
          <w:iCs/>
          <w:sz w:val="22"/>
          <w:lang w:val="en-US"/>
        </w:rPr>
        <w:t>E</w:t>
      </w:r>
      <w:r w:rsidRPr="00C5133C">
        <w:rPr>
          <w:rFonts w:ascii="Cambria" w:hAnsi="Cambria" w:cs="Times New Roman"/>
          <w:i/>
          <w:iCs/>
          <w:sz w:val="22"/>
          <w:lang w:val="en-US"/>
        </w:rPr>
        <w:t>views</w:t>
      </w:r>
      <w:r w:rsidRPr="00C5133C">
        <w:rPr>
          <w:rFonts w:ascii="Cambria" w:hAnsi="Cambria" w:cs="Times New Roman"/>
          <w:sz w:val="22"/>
          <w:lang w:val="en-US"/>
        </w:rPr>
        <w:t xml:space="preserve"> 9</w:t>
      </w:r>
      <w:r>
        <w:rPr>
          <w:rFonts w:ascii="Cambria" w:hAnsi="Cambria" w:cs="Times New Roman"/>
          <w:sz w:val="22"/>
          <w:lang w:val="en-US"/>
        </w:rPr>
        <w:t xml:space="preserve"> (2021)</w:t>
      </w:r>
    </w:p>
    <w:p w14:paraId="6BDE0D4E" w14:textId="77777777" w:rsidR="00143894" w:rsidRDefault="00143894" w:rsidP="00C5133C">
      <w:pPr>
        <w:spacing w:line="276" w:lineRule="auto"/>
        <w:rPr>
          <w:rFonts w:ascii="Cambria" w:hAnsi="Cambria"/>
          <w:sz w:val="22"/>
          <w:lang w:val="en-US"/>
        </w:rPr>
      </w:pPr>
    </w:p>
    <w:p w14:paraId="174C7BCC" w14:textId="5CE52790" w:rsidR="00C374C8" w:rsidRPr="00C5133C" w:rsidRDefault="00C374C8" w:rsidP="00143894">
      <w:pPr>
        <w:spacing w:line="276" w:lineRule="auto"/>
        <w:rPr>
          <w:rFonts w:ascii="Cambria" w:hAnsi="Cambria"/>
          <w:sz w:val="22"/>
          <w:lang w:val="en-US"/>
        </w:rPr>
      </w:pPr>
      <w:r w:rsidRPr="00C5133C">
        <w:rPr>
          <w:rFonts w:ascii="Cambria" w:hAnsi="Cambria"/>
          <w:sz w:val="22"/>
          <w:lang w:val="en-US"/>
        </w:rPr>
        <w:t xml:space="preserve">Karena model yang terpilih berdasarkan Uji </w:t>
      </w:r>
      <w:r w:rsidRPr="00C5133C">
        <w:rPr>
          <w:rFonts w:ascii="Cambria" w:hAnsi="Cambria"/>
          <w:i/>
          <w:sz w:val="22"/>
          <w:lang w:val="en-US"/>
        </w:rPr>
        <w:t>Chow</w:t>
      </w:r>
      <w:r w:rsidRPr="00C5133C">
        <w:rPr>
          <w:rFonts w:ascii="Cambria" w:hAnsi="Cambria"/>
          <w:sz w:val="22"/>
          <w:lang w:val="en-US"/>
        </w:rPr>
        <w:t xml:space="preserve"> adalah CEM, selanjutnya dilakukan Uji </w:t>
      </w:r>
      <w:r w:rsidRPr="00C5133C">
        <w:rPr>
          <w:rFonts w:ascii="Cambria" w:hAnsi="Cambria"/>
          <w:i/>
          <w:sz w:val="22"/>
          <w:lang w:val="en-US"/>
        </w:rPr>
        <w:t>Langrange Multiplier</w:t>
      </w:r>
      <w:r w:rsidRPr="00C5133C">
        <w:rPr>
          <w:rFonts w:ascii="Cambria" w:hAnsi="Cambria"/>
          <w:sz w:val="22"/>
          <w:lang w:val="en-US"/>
        </w:rPr>
        <w:t xml:space="preserve"> untuk memilih antara model CEM dan REM. Uji </w:t>
      </w:r>
      <w:r w:rsidRPr="00C5133C">
        <w:rPr>
          <w:rFonts w:ascii="Cambria" w:hAnsi="Cambria"/>
          <w:i/>
          <w:sz w:val="22"/>
          <w:lang w:val="en-US"/>
        </w:rPr>
        <w:t>Langrange Multiplier</w:t>
      </w:r>
      <w:r w:rsidRPr="00C5133C">
        <w:rPr>
          <w:rFonts w:ascii="Cambria" w:hAnsi="Cambria"/>
          <w:sz w:val="22"/>
          <w:lang w:val="en-US"/>
        </w:rPr>
        <w:t xml:space="preserve"> dilakukan denga</w:t>
      </w:r>
      <w:r w:rsidR="00845514">
        <w:rPr>
          <w:rFonts w:ascii="Cambria" w:hAnsi="Cambria"/>
          <w:sz w:val="22"/>
          <w:lang w:val="en-US"/>
        </w:rPr>
        <w:t>n</w:t>
      </w:r>
      <w:r w:rsidRPr="00C5133C">
        <w:rPr>
          <w:rFonts w:ascii="Cambria" w:hAnsi="Cambria"/>
          <w:sz w:val="22"/>
          <w:lang w:val="en-US"/>
        </w:rPr>
        <w:t xml:space="preserve"> membandingkan nilai probabilitas Breusch-pagan pada </w:t>
      </w:r>
      <w:r w:rsidR="0075656D" w:rsidRPr="00C5133C">
        <w:rPr>
          <w:rFonts w:ascii="Cambria" w:hAnsi="Cambria"/>
          <w:i/>
          <w:iCs/>
          <w:sz w:val="22"/>
          <w:lang w:val="en-US"/>
        </w:rPr>
        <w:t>B</w:t>
      </w:r>
      <w:r w:rsidRPr="00C5133C">
        <w:rPr>
          <w:rFonts w:ascii="Cambria" w:hAnsi="Cambria"/>
          <w:i/>
          <w:iCs/>
          <w:sz w:val="22"/>
          <w:lang w:val="en-US"/>
        </w:rPr>
        <w:t>oth</w:t>
      </w:r>
      <w:r w:rsidR="008F224F" w:rsidRPr="00C5133C">
        <w:rPr>
          <w:rFonts w:ascii="Cambria" w:hAnsi="Cambria"/>
          <w:i/>
          <w:iCs/>
          <w:sz w:val="22"/>
          <w:lang w:val="en-US"/>
        </w:rPr>
        <w:t xml:space="preserve"> </w:t>
      </w:r>
      <w:r w:rsidRPr="00C5133C">
        <w:rPr>
          <w:rFonts w:ascii="Cambria" w:hAnsi="Cambria"/>
          <w:sz w:val="22"/>
          <w:lang w:val="en-US"/>
        </w:rPr>
        <w:t xml:space="preserve">dengan nilai signifikansi (α). Uji </w:t>
      </w:r>
      <w:r w:rsidRPr="00C5133C">
        <w:rPr>
          <w:rFonts w:ascii="Cambria" w:hAnsi="Cambria"/>
          <w:i/>
          <w:sz w:val="22"/>
          <w:lang w:val="en-US"/>
        </w:rPr>
        <w:t>Langrange Multiplier</w:t>
      </w:r>
      <w:r w:rsidRPr="00C5133C">
        <w:rPr>
          <w:rFonts w:ascii="Cambria" w:hAnsi="Cambria"/>
          <w:sz w:val="22"/>
          <w:lang w:val="en-US"/>
        </w:rPr>
        <w:t xml:space="preserve"> menggunakan hipotesis sebagai berikut:</w:t>
      </w:r>
    </w:p>
    <w:p w14:paraId="6C35FB1A" w14:textId="40B152AF" w:rsidR="00C374C8" w:rsidRPr="00C5133C" w:rsidRDefault="00C374C8" w:rsidP="00143894">
      <w:pPr>
        <w:spacing w:line="276" w:lineRule="auto"/>
        <w:jc w:val="left"/>
        <w:rPr>
          <w:rFonts w:ascii="Cambria" w:hAnsi="Cambria" w:cs="Times New Roman"/>
          <w:sz w:val="22"/>
          <w:lang w:val="en-US"/>
        </w:rPr>
      </w:pPr>
      <w:r w:rsidRPr="00C5133C">
        <w:rPr>
          <w:rFonts w:ascii="Cambria" w:hAnsi="Cambria" w:cs="Times New Roman"/>
          <w:sz w:val="22"/>
          <w:lang w:val="en-US"/>
        </w:rPr>
        <w:t>H</w:t>
      </w:r>
      <w:r w:rsidRPr="00C5133C">
        <w:rPr>
          <w:rFonts w:ascii="Cambria" w:hAnsi="Cambria" w:cs="Times New Roman"/>
          <w:sz w:val="22"/>
          <w:vertAlign w:val="subscript"/>
          <w:lang w:val="en-US"/>
        </w:rPr>
        <w:t>0</w:t>
      </w:r>
      <w:r w:rsidR="00143894">
        <w:rPr>
          <w:rFonts w:ascii="Cambria" w:hAnsi="Cambria" w:cs="Times New Roman"/>
          <w:sz w:val="22"/>
          <w:vertAlign w:val="subscript"/>
          <w:lang w:val="en-US"/>
        </w:rPr>
        <w:tab/>
      </w:r>
      <w:r w:rsidRPr="00C5133C">
        <w:rPr>
          <w:rFonts w:ascii="Cambria" w:hAnsi="Cambria" w:cs="Times New Roman"/>
          <w:sz w:val="22"/>
          <w:lang w:val="en-US"/>
        </w:rPr>
        <w:t>= Model CEM</w:t>
      </w:r>
    </w:p>
    <w:p w14:paraId="6DEF04E9" w14:textId="6DBDEC65" w:rsidR="00C374C8" w:rsidRPr="00C5133C" w:rsidRDefault="00C374C8" w:rsidP="00143894">
      <w:pPr>
        <w:spacing w:line="276" w:lineRule="auto"/>
        <w:jc w:val="left"/>
        <w:rPr>
          <w:rFonts w:ascii="Cambria" w:hAnsi="Cambria" w:cs="Times New Roman"/>
          <w:sz w:val="22"/>
          <w:lang w:val="en-US"/>
        </w:rPr>
      </w:pPr>
      <w:r w:rsidRPr="00C5133C">
        <w:rPr>
          <w:rFonts w:ascii="Cambria" w:hAnsi="Cambria" w:cs="Times New Roman"/>
          <w:sz w:val="22"/>
          <w:lang w:val="en-US"/>
        </w:rPr>
        <w:t>H</w:t>
      </w:r>
      <w:r w:rsidRPr="00C5133C">
        <w:rPr>
          <w:rFonts w:ascii="Cambria" w:hAnsi="Cambria" w:cs="Times New Roman"/>
          <w:sz w:val="22"/>
          <w:vertAlign w:val="subscript"/>
          <w:lang w:val="en-US"/>
        </w:rPr>
        <w:t>1</w:t>
      </w:r>
      <w:r w:rsidR="00143894">
        <w:rPr>
          <w:rFonts w:ascii="Cambria" w:hAnsi="Cambria" w:cs="Times New Roman"/>
          <w:sz w:val="22"/>
          <w:vertAlign w:val="subscript"/>
          <w:lang w:val="en-US"/>
        </w:rPr>
        <w:tab/>
      </w:r>
      <w:r w:rsidRPr="00C5133C">
        <w:rPr>
          <w:rFonts w:ascii="Cambria" w:hAnsi="Cambria" w:cs="Times New Roman"/>
          <w:sz w:val="22"/>
          <w:lang w:val="en-US"/>
        </w:rPr>
        <w:t>= Model REM</w:t>
      </w:r>
    </w:p>
    <w:p w14:paraId="059C5137" w14:textId="77777777" w:rsidR="00C374C8" w:rsidRPr="00C5133C" w:rsidRDefault="00C374C8" w:rsidP="00143894">
      <w:pPr>
        <w:spacing w:line="276" w:lineRule="auto"/>
        <w:jc w:val="left"/>
        <w:rPr>
          <w:rFonts w:ascii="Cambria" w:hAnsi="Cambria" w:cs="Times New Roman"/>
          <w:sz w:val="22"/>
          <w:lang w:val="en-US"/>
        </w:rPr>
      </w:pPr>
      <w:r w:rsidRPr="00C5133C">
        <w:rPr>
          <w:rFonts w:ascii="Cambria" w:hAnsi="Cambria" w:cs="Times New Roman"/>
          <w:sz w:val="22"/>
          <w:lang w:val="en-US"/>
        </w:rPr>
        <w:t>Nilai probabilitas yang melebihi nilai signifikansi (α) menunjukkan bahwa H</w:t>
      </w:r>
      <w:r w:rsidRPr="00C5133C">
        <w:rPr>
          <w:rFonts w:ascii="Cambria" w:hAnsi="Cambria" w:cs="Times New Roman"/>
          <w:sz w:val="22"/>
          <w:vertAlign w:val="subscript"/>
          <w:lang w:val="en-US"/>
        </w:rPr>
        <w:t>1</w:t>
      </w:r>
      <w:r w:rsidRPr="00C5133C">
        <w:rPr>
          <w:rFonts w:ascii="Cambria" w:hAnsi="Cambria" w:cs="Times New Roman"/>
          <w:sz w:val="22"/>
          <w:lang w:val="en-US"/>
        </w:rPr>
        <w:t xml:space="preserve"> ditolak dan H</w:t>
      </w:r>
      <w:r w:rsidRPr="00C5133C">
        <w:rPr>
          <w:rFonts w:ascii="Cambria" w:hAnsi="Cambria" w:cs="Times New Roman"/>
          <w:sz w:val="22"/>
          <w:vertAlign w:val="subscript"/>
          <w:lang w:val="en-US"/>
        </w:rPr>
        <w:t>0</w:t>
      </w:r>
      <w:r w:rsidRPr="00C5133C">
        <w:rPr>
          <w:rFonts w:ascii="Cambria" w:hAnsi="Cambria" w:cs="Times New Roman"/>
          <w:sz w:val="22"/>
          <w:lang w:val="en-US"/>
        </w:rPr>
        <w:t xml:space="preserve"> diterima, sehingga model CEM terpilih sebagai model regresi yang lebih baik.</w:t>
      </w:r>
    </w:p>
    <w:p w14:paraId="4A7BD206" w14:textId="5E2B96C1" w:rsidR="00C374C8" w:rsidRDefault="00C374C8" w:rsidP="00143894">
      <w:pPr>
        <w:spacing w:line="276" w:lineRule="auto"/>
        <w:rPr>
          <w:rFonts w:ascii="Cambria" w:hAnsi="Cambria" w:cs="Times New Roman"/>
          <w:sz w:val="22"/>
          <w:lang w:val="en-US"/>
        </w:rPr>
      </w:pPr>
      <w:r w:rsidRPr="00C5133C">
        <w:rPr>
          <w:rFonts w:ascii="Cambria" w:hAnsi="Cambria" w:cs="Times New Roman"/>
          <w:i/>
          <w:sz w:val="22"/>
          <w:lang w:val="en-US"/>
        </w:rPr>
        <w:t>Common Effect Model</w:t>
      </w:r>
      <w:r w:rsidRPr="00C5133C">
        <w:rPr>
          <w:rFonts w:ascii="Cambria" w:hAnsi="Cambria" w:cs="Times New Roman"/>
          <w:sz w:val="22"/>
          <w:lang w:val="en-US"/>
        </w:rPr>
        <w:t xml:space="preserve"> terpilih dua kali pada Uji </w:t>
      </w:r>
      <w:r w:rsidRPr="00C5133C">
        <w:rPr>
          <w:rFonts w:ascii="Cambria" w:hAnsi="Cambria" w:cs="Times New Roman"/>
          <w:i/>
          <w:sz w:val="22"/>
          <w:lang w:val="en-US"/>
        </w:rPr>
        <w:t>Chow</w:t>
      </w:r>
      <w:r w:rsidRPr="00C5133C">
        <w:rPr>
          <w:rFonts w:ascii="Cambria" w:hAnsi="Cambria" w:cs="Times New Roman"/>
          <w:sz w:val="22"/>
          <w:lang w:val="en-US"/>
        </w:rPr>
        <w:t xml:space="preserve"> dan Uji </w:t>
      </w:r>
      <w:r w:rsidRPr="00C5133C">
        <w:rPr>
          <w:rFonts w:ascii="Cambria" w:hAnsi="Cambria" w:cs="Times New Roman"/>
          <w:i/>
          <w:sz w:val="22"/>
          <w:lang w:val="en-US"/>
        </w:rPr>
        <w:t>Langrange Multiplier</w:t>
      </w:r>
      <w:r w:rsidRPr="00C5133C">
        <w:rPr>
          <w:rFonts w:ascii="Cambria" w:hAnsi="Cambria" w:cs="Times New Roman"/>
          <w:sz w:val="22"/>
          <w:lang w:val="en-US"/>
        </w:rPr>
        <w:t>. Berdasarkan pengujian tersebut, disimpulkan bahwa model CEM merupakan model terbaik untuk digunakan dalam penelitian ini.</w:t>
      </w:r>
      <w:r w:rsidR="007A371B" w:rsidRPr="00C5133C">
        <w:rPr>
          <w:rFonts w:ascii="Cambria" w:hAnsi="Cambria" w:cs="Times New Roman"/>
          <w:sz w:val="22"/>
          <w:lang w:val="en-US"/>
        </w:rPr>
        <w:t xml:space="preserve"> Model </w:t>
      </w:r>
      <w:r w:rsidR="007A371B" w:rsidRPr="00C5133C">
        <w:rPr>
          <w:rFonts w:ascii="Cambria" w:hAnsi="Cambria" w:cs="Times New Roman"/>
          <w:i/>
          <w:sz w:val="22"/>
          <w:lang w:val="en-US"/>
        </w:rPr>
        <w:t>common effect</w:t>
      </w:r>
      <w:r w:rsidR="007A371B" w:rsidRPr="00C5133C">
        <w:rPr>
          <w:rFonts w:ascii="Cambria" w:hAnsi="Cambria" w:cs="Times New Roman"/>
          <w:sz w:val="22"/>
          <w:lang w:val="en-US"/>
        </w:rPr>
        <w:t xml:space="preserve"> menggabungkan data </w:t>
      </w:r>
      <w:r w:rsidR="007A371B" w:rsidRPr="00C5133C">
        <w:rPr>
          <w:rFonts w:ascii="Cambria" w:hAnsi="Cambria" w:cs="Times New Roman"/>
          <w:i/>
          <w:sz w:val="22"/>
          <w:lang w:val="en-US"/>
        </w:rPr>
        <w:t>cross section</w:t>
      </w:r>
      <w:r w:rsidR="007A371B" w:rsidRPr="00C5133C">
        <w:rPr>
          <w:rFonts w:ascii="Cambria" w:hAnsi="Cambria" w:cs="Times New Roman"/>
          <w:sz w:val="22"/>
          <w:lang w:val="en-US"/>
        </w:rPr>
        <w:t xml:space="preserve"> dengan </w:t>
      </w:r>
      <w:r w:rsidR="007A371B" w:rsidRPr="00C5133C">
        <w:rPr>
          <w:rFonts w:ascii="Cambria" w:hAnsi="Cambria" w:cs="Times New Roman"/>
          <w:i/>
          <w:sz w:val="22"/>
          <w:lang w:val="en-US"/>
        </w:rPr>
        <w:t>time series</w:t>
      </w:r>
      <w:r w:rsidR="007A371B" w:rsidRPr="00C5133C">
        <w:rPr>
          <w:rFonts w:ascii="Cambria" w:hAnsi="Cambria" w:cs="Times New Roman"/>
          <w:sz w:val="22"/>
          <w:lang w:val="en-US"/>
        </w:rPr>
        <w:t xml:space="preserve"> dan menggunakan metode OLS untuk mengestimasi model data panel tersebut. Model ini merupakan model paling sederhana dibandingkan dua model lainnya, model </w:t>
      </w:r>
      <w:r w:rsidR="007A371B" w:rsidRPr="00C5133C">
        <w:rPr>
          <w:rFonts w:ascii="Cambria" w:hAnsi="Cambria" w:cs="Times New Roman"/>
          <w:i/>
          <w:sz w:val="22"/>
          <w:lang w:val="en-US"/>
        </w:rPr>
        <w:t>common effect</w:t>
      </w:r>
      <w:r w:rsidR="007A371B" w:rsidRPr="00C5133C">
        <w:rPr>
          <w:rFonts w:ascii="Cambria" w:hAnsi="Cambria" w:cs="Times New Roman"/>
          <w:sz w:val="22"/>
          <w:lang w:val="en-US"/>
        </w:rPr>
        <w:t xml:space="preserve"> tidak membedakan varians antara silang tempat dan tit</w:t>
      </w:r>
      <w:r w:rsidR="00143894">
        <w:rPr>
          <w:rFonts w:ascii="Cambria" w:hAnsi="Cambria" w:cs="Times New Roman"/>
          <w:sz w:val="22"/>
          <w:lang w:val="en-US"/>
        </w:rPr>
        <w:t>i</w:t>
      </w:r>
      <w:r w:rsidR="007A371B" w:rsidRPr="00C5133C">
        <w:rPr>
          <w:rFonts w:ascii="Cambria" w:hAnsi="Cambria" w:cs="Times New Roman"/>
          <w:sz w:val="22"/>
          <w:lang w:val="en-US"/>
        </w:rPr>
        <w:t xml:space="preserve">k waktu karena memiliki </w:t>
      </w:r>
      <w:r w:rsidR="007A371B" w:rsidRPr="00C5133C">
        <w:rPr>
          <w:rFonts w:ascii="Cambria" w:hAnsi="Cambria" w:cs="Times New Roman"/>
          <w:i/>
          <w:sz w:val="22"/>
          <w:lang w:val="en-US"/>
        </w:rPr>
        <w:t>intercept</w:t>
      </w:r>
      <w:r w:rsidR="007A371B" w:rsidRPr="00C5133C">
        <w:rPr>
          <w:rFonts w:ascii="Cambria" w:hAnsi="Cambria" w:cs="Times New Roman"/>
          <w:sz w:val="22"/>
          <w:lang w:val="en-US"/>
        </w:rPr>
        <w:t xml:space="preserve"> yang tetap dan tidak bervarias</w:t>
      </w:r>
      <w:r w:rsidR="00845514">
        <w:rPr>
          <w:rFonts w:ascii="Cambria" w:hAnsi="Cambria" w:cs="Times New Roman"/>
          <w:sz w:val="22"/>
          <w:lang w:val="en-US"/>
        </w:rPr>
        <w:t>i</w:t>
      </w:r>
      <w:r w:rsidR="007A371B" w:rsidRPr="00C5133C">
        <w:rPr>
          <w:rFonts w:ascii="Cambria" w:hAnsi="Cambria" w:cs="Times New Roman"/>
          <w:sz w:val="22"/>
          <w:lang w:val="en-US"/>
        </w:rPr>
        <w:t xml:space="preserve"> secara </w:t>
      </w:r>
      <w:r w:rsidR="007A371B" w:rsidRPr="00C5133C">
        <w:rPr>
          <w:rFonts w:ascii="Cambria" w:hAnsi="Cambria" w:cs="Times New Roman"/>
          <w:i/>
          <w:sz w:val="22"/>
          <w:lang w:val="en-US"/>
        </w:rPr>
        <w:t xml:space="preserve">random </w:t>
      </w:r>
      <w:r w:rsidR="007A371B" w:rsidRPr="00C5133C">
        <w:rPr>
          <w:rFonts w:ascii="Cambria" w:hAnsi="Cambria" w:cs="Times New Roman"/>
          <w:i/>
          <w:sz w:val="22"/>
          <w:lang w:val="en-US"/>
        </w:rPr>
        <w:fldChar w:fldCharType="begin" w:fldLock="1"/>
      </w:r>
      <w:r w:rsidR="007A371B" w:rsidRPr="00C5133C">
        <w:rPr>
          <w:rFonts w:ascii="Cambria" w:hAnsi="Cambria" w:cs="Times New Roman"/>
          <w:i/>
          <w:sz w:val="22"/>
          <w:lang w:val="en-US"/>
        </w:rPr>
        <w:instrText>ADDIN CSL_CITATION {"citationItems":[{"id":"ITEM-1","itemData":{"author":[{"dropping-particle":"","family":"Riduwan","given":"","non-dropping-particle":"","parse-names":false,"suffix":""},{"dropping-particle":"","family":"Kuncoro","given":"","non-dropping-particle":"","parse-names":false,"suffix":""}],"id":"ITEM-1","issued":{"date-parts":[["2012"]]},"publisher":"Alfabeta","publisher-place":"Bandung","title":"Cara Menggunakan dan Memakai Path Analysis (Analisis Jalur)","type":"book"},"uris":["http://www.mendeley.com/documents/?uuid=5e1ce179-1ccd-4354-808a-b8ee52db70ab"]}],"mendeley":{"formattedCitation":"(Riduwan &amp; Kuncoro, 2012)","plainTextFormattedCitation":"(Riduwan &amp; Kuncoro, 2012)"},"properties":{"noteIndex":0},"schema":"https://github.com/citation-style-language/schema/raw/master/csl-citation.json"}</w:instrText>
      </w:r>
      <w:r w:rsidR="007A371B" w:rsidRPr="00C5133C">
        <w:rPr>
          <w:rFonts w:ascii="Cambria" w:hAnsi="Cambria" w:cs="Times New Roman"/>
          <w:i/>
          <w:sz w:val="22"/>
          <w:lang w:val="en-US"/>
        </w:rPr>
        <w:fldChar w:fldCharType="separate"/>
      </w:r>
      <w:r w:rsidR="007A371B" w:rsidRPr="00C5133C">
        <w:rPr>
          <w:rFonts w:ascii="Cambria" w:hAnsi="Cambria" w:cs="Times New Roman"/>
          <w:noProof/>
          <w:sz w:val="22"/>
          <w:lang w:val="en-US"/>
        </w:rPr>
        <w:t>(Riduwan &amp; Kuncoro, 2012)</w:t>
      </w:r>
      <w:r w:rsidR="007A371B" w:rsidRPr="00C5133C">
        <w:rPr>
          <w:rFonts w:ascii="Cambria" w:hAnsi="Cambria" w:cs="Times New Roman"/>
          <w:i/>
          <w:sz w:val="22"/>
          <w:lang w:val="en-US"/>
        </w:rPr>
        <w:fldChar w:fldCharType="end"/>
      </w:r>
      <w:r w:rsidR="007A371B" w:rsidRPr="00C5133C">
        <w:rPr>
          <w:rFonts w:ascii="Cambria" w:hAnsi="Cambria" w:cs="Times New Roman"/>
          <w:sz w:val="22"/>
          <w:lang w:val="en-US"/>
        </w:rPr>
        <w:t>.</w:t>
      </w:r>
    </w:p>
    <w:p w14:paraId="55E2AB89" w14:textId="77777777" w:rsidR="00143894" w:rsidRPr="00C5133C" w:rsidRDefault="00143894" w:rsidP="00143894">
      <w:pPr>
        <w:spacing w:line="276" w:lineRule="auto"/>
        <w:rPr>
          <w:rFonts w:ascii="Cambria" w:hAnsi="Cambria" w:cs="Times New Roman"/>
          <w:sz w:val="22"/>
          <w:lang w:val="en-US"/>
        </w:rPr>
      </w:pPr>
    </w:p>
    <w:p w14:paraId="0BBA3FE8" w14:textId="77B00CDF" w:rsidR="00C374C8" w:rsidRPr="00C5133C" w:rsidRDefault="00C374C8" w:rsidP="00143894">
      <w:pPr>
        <w:pStyle w:val="Heading2"/>
        <w:spacing w:after="200" w:line="276" w:lineRule="auto"/>
        <w:rPr>
          <w:rFonts w:ascii="Cambria" w:hAnsi="Cambria"/>
          <w:sz w:val="22"/>
          <w:szCs w:val="22"/>
          <w:lang w:val="en-US"/>
        </w:rPr>
      </w:pPr>
      <w:bookmarkStart w:id="16" w:name="_Toc84232429"/>
      <w:r w:rsidRPr="00C5133C">
        <w:rPr>
          <w:rFonts w:ascii="Cambria" w:hAnsi="Cambria"/>
          <w:sz w:val="22"/>
          <w:szCs w:val="22"/>
          <w:lang w:val="en-US"/>
        </w:rPr>
        <w:t>Uji Asumsi Klasik</w:t>
      </w:r>
      <w:bookmarkEnd w:id="16"/>
    </w:p>
    <w:p w14:paraId="462F7A5D" w14:textId="494342FA" w:rsidR="00143894" w:rsidRPr="00143894" w:rsidRDefault="00C374C8" w:rsidP="00143894">
      <w:pPr>
        <w:spacing w:line="276" w:lineRule="auto"/>
        <w:rPr>
          <w:rFonts w:ascii="Cambria" w:hAnsi="Cambria" w:cs="Times New Roman"/>
          <w:sz w:val="22"/>
          <w:lang w:val="en-US"/>
        </w:rPr>
      </w:pPr>
      <w:r w:rsidRPr="00C5133C">
        <w:rPr>
          <w:rFonts w:ascii="Cambria" w:hAnsi="Cambria" w:cs="Times New Roman"/>
          <w:sz w:val="22"/>
          <w:lang w:val="en-US"/>
        </w:rPr>
        <w:t>Uji Asumsi Klasik terdiri dari empat pengujian, yaitu Uji Normalitas, Uji Multikolinearitas, Uji Heteroskedastisitas, dan Uji Autokorelasi. Uji Asumsi Klasik dilakukan untuk menilai keandalan suatu model.</w:t>
      </w:r>
    </w:p>
    <w:p w14:paraId="1EDEE79F" w14:textId="6DD2E92D" w:rsidR="00C374C8" w:rsidRDefault="00C374C8" w:rsidP="00143894">
      <w:pPr>
        <w:spacing w:line="276" w:lineRule="auto"/>
        <w:ind w:firstLine="0"/>
        <w:jc w:val="center"/>
        <w:rPr>
          <w:rFonts w:ascii="Cambria" w:hAnsi="Cambria"/>
          <w:sz w:val="22"/>
          <w:lang w:val="id-ID"/>
        </w:rPr>
      </w:pPr>
      <w:r w:rsidRPr="00C5133C">
        <w:rPr>
          <w:rFonts w:ascii="Cambria" w:hAnsi="Cambria"/>
          <w:noProof/>
          <w:sz w:val="22"/>
          <w:lang w:val="en-US"/>
        </w:rPr>
        <w:drawing>
          <wp:inline distT="0" distB="0" distL="0" distR="0" wp14:anchorId="133E8858" wp14:editId="5BCDD8F3">
            <wp:extent cx="4724400" cy="2047875"/>
            <wp:effectExtent l="0" t="0" r="0" b="9525"/>
            <wp:docPr id="38" name="Picture 38"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hart, histo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24400" cy="2047875"/>
                    </a:xfrm>
                    <a:prstGeom prst="rect">
                      <a:avLst/>
                    </a:prstGeom>
                    <a:noFill/>
                    <a:ln>
                      <a:noFill/>
                    </a:ln>
                  </pic:spPr>
                </pic:pic>
              </a:graphicData>
            </a:graphic>
          </wp:inline>
        </w:drawing>
      </w:r>
    </w:p>
    <w:p w14:paraId="4F48613A" w14:textId="17DF06F2" w:rsidR="00143894" w:rsidRPr="00143894" w:rsidRDefault="00143894" w:rsidP="00143894">
      <w:pPr>
        <w:pStyle w:val="Heading6"/>
        <w:spacing w:line="276" w:lineRule="auto"/>
        <w:rPr>
          <w:rFonts w:ascii="Cambria" w:hAnsi="Cambria"/>
          <w:b/>
          <w:bCs/>
          <w:sz w:val="22"/>
          <w:lang w:val="en-US"/>
        </w:rPr>
      </w:pPr>
      <w:bookmarkStart w:id="17" w:name="_Toc83248004"/>
      <w:r w:rsidRPr="00143894">
        <w:rPr>
          <w:rFonts w:ascii="Cambria" w:hAnsi="Cambria"/>
          <w:b/>
          <w:bCs/>
          <w:sz w:val="22"/>
          <w:lang w:val="en-US"/>
        </w:rPr>
        <w:t>Gambar 2</w:t>
      </w:r>
      <w:r>
        <w:rPr>
          <w:rFonts w:ascii="Cambria" w:hAnsi="Cambria"/>
          <w:b/>
          <w:bCs/>
          <w:sz w:val="22"/>
          <w:lang w:val="en-US"/>
        </w:rPr>
        <w:t>.</w:t>
      </w:r>
      <w:r w:rsidRPr="00143894">
        <w:rPr>
          <w:rFonts w:ascii="Cambria" w:hAnsi="Cambria"/>
          <w:b/>
          <w:bCs/>
          <w:sz w:val="22"/>
          <w:lang w:val="en-US"/>
        </w:rPr>
        <w:t xml:space="preserve"> Hasil Uji Normalitas</w:t>
      </w:r>
      <w:bookmarkEnd w:id="17"/>
    </w:p>
    <w:p w14:paraId="21F94968" w14:textId="77777777" w:rsidR="00143894" w:rsidRDefault="00143894" w:rsidP="00143894">
      <w:pPr>
        <w:spacing w:line="276" w:lineRule="auto"/>
        <w:ind w:firstLine="0"/>
        <w:jc w:val="center"/>
        <w:rPr>
          <w:rFonts w:ascii="Cambria" w:hAnsi="Cambria" w:cs="Times New Roman"/>
          <w:sz w:val="22"/>
          <w:lang w:val="en-US"/>
        </w:rPr>
      </w:pPr>
      <w:r w:rsidRPr="00C5133C">
        <w:rPr>
          <w:rFonts w:ascii="Cambria" w:hAnsi="Cambria" w:cs="Times New Roman"/>
          <w:sz w:val="22"/>
          <w:lang w:val="en-US"/>
        </w:rPr>
        <w:t xml:space="preserve">Sumber: </w:t>
      </w:r>
      <w:r>
        <w:rPr>
          <w:rFonts w:ascii="Cambria" w:hAnsi="Cambria" w:cs="Times New Roman"/>
          <w:sz w:val="22"/>
          <w:lang w:val="en-US"/>
        </w:rPr>
        <w:t>Olahan data peneliti dengan</w:t>
      </w:r>
      <w:r w:rsidRPr="00C5133C">
        <w:rPr>
          <w:rFonts w:ascii="Cambria" w:hAnsi="Cambria" w:cs="Times New Roman"/>
          <w:sz w:val="22"/>
          <w:lang w:val="en-US"/>
        </w:rPr>
        <w:t xml:space="preserve"> </w:t>
      </w:r>
      <w:r>
        <w:rPr>
          <w:rFonts w:ascii="Cambria" w:hAnsi="Cambria" w:cs="Times New Roman"/>
          <w:i/>
          <w:iCs/>
          <w:sz w:val="22"/>
          <w:lang w:val="en-US"/>
        </w:rPr>
        <w:t>E</w:t>
      </w:r>
      <w:r w:rsidRPr="00C5133C">
        <w:rPr>
          <w:rFonts w:ascii="Cambria" w:hAnsi="Cambria" w:cs="Times New Roman"/>
          <w:i/>
          <w:iCs/>
          <w:sz w:val="22"/>
          <w:lang w:val="en-US"/>
        </w:rPr>
        <w:t>views</w:t>
      </w:r>
      <w:r w:rsidRPr="00C5133C">
        <w:rPr>
          <w:rFonts w:ascii="Cambria" w:hAnsi="Cambria" w:cs="Times New Roman"/>
          <w:sz w:val="22"/>
          <w:lang w:val="en-US"/>
        </w:rPr>
        <w:t xml:space="preserve"> 9</w:t>
      </w:r>
      <w:r>
        <w:rPr>
          <w:rFonts w:ascii="Cambria" w:hAnsi="Cambria" w:cs="Times New Roman"/>
          <w:sz w:val="22"/>
          <w:lang w:val="en-US"/>
        </w:rPr>
        <w:t xml:space="preserve"> (2021)</w:t>
      </w:r>
    </w:p>
    <w:p w14:paraId="23454B3B" w14:textId="6C62689B" w:rsidR="00C374C8" w:rsidRPr="00C5133C" w:rsidRDefault="00C374C8" w:rsidP="00C5133C">
      <w:pPr>
        <w:spacing w:line="276" w:lineRule="auto"/>
        <w:rPr>
          <w:rFonts w:ascii="Cambria" w:hAnsi="Cambria" w:cs="Times New Roman"/>
          <w:sz w:val="22"/>
          <w:lang w:val="en-US"/>
        </w:rPr>
      </w:pPr>
      <w:r w:rsidRPr="00C5133C">
        <w:rPr>
          <w:rFonts w:ascii="Cambria" w:hAnsi="Cambria" w:cs="Times New Roman"/>
          <w:sz w:val="22"/>
          <w:lang w:val="en-US"/>
        </w:rPr>
        <w:lastRenderedPageBreak/>
        <w:t>Uji normalitas dilakukan untuk mengetahui apakah model memiliki data yang terdistribusi normal. Uji Normalitas menggunakan hipotesis sebagai berikut:</w:t>
      </w:r>
    </w:p>
    <w:p w14:paraId="3463C9C3" w14:textId="250F790E" w:rsidR="00C374C8" w:rsidRPr="00C5133C" w:rsidRDefault="00C374C8" w:rsidP="00C5133C">
      <w:pPr>
        <w:spacing w:line="276" w:lineRule="auto"/>
        <w:jc w:val="left"/>
        <w:rPr>
          <w:rFonts w:ascii="Cambria" w:hAnsi="Cambria" w:cs="Times New Roman"/>
          <w:sz w:val="22"/>
          <w:lang w:val="en-US"/>
        </w:rPr>
      </w:pPr>
      <w:r w:rsidRPr="00C5133C">
        <w:rPr>
          <w:rFonts w:ascii="Cambria" w:hAnsi="Cambria" w:cs="Times New Roman"/>
          <w:sz w:val="22"/>
          <w:lang w:val="en-US"/>
        </w:rPr>
        <w:t>H</w:t>
      </w:r>
      <w:r w:rsidRPr="00C5133C">
        <w:rPr>
          <w:rFonts w:ascii="Cambria" w:hAnsi="Cambria" w:cs="Times New Roman"/>
          <w:sz w:val="22"/>
          <w:vertAlign w:val="subscript"/>
          <w:lang w:val="en-US"/>
        </w:rPr>
        <w:t>0</w:t>
      </w:r>
      <w:r w:rsidR="00143894">
        <w:rPr>
          <w:rFonts w:ascii="Cambria" w:hAnsi="Cambria" w:cs="Times New Roman"/>
          <w:sz w:val="22"/>
          <w:vertAlign w:val="subscript"/>
          <w:lang w:val="en-US"/>
        </w:rPr>
        <w:tab/>
      </w:r>
      <w:r w:rsidRPr="00C5133C">
        <w:rPr>
          <w:rFonts w:ascii="Cambria" w:hAnsi="Cambria" w:cs="Times New Roman"/>
          <w:sz w:val="22"/>
          <w:lang w:val="en-US"/>
        </w:rPr>
        <w:t>= data terdistribusi normal</w:t>
      </w:r>
    </w:p>
    <w:p w14:paraId="73400192" w14:textId="5DA3E5C0" w:rsidR="00C374C8" w:rsidRPr="00C5133C" w:rsidRDefault="00C374C8" w:rsidP="00C5133C">
      <w:pPr>
        <w:spacing w:line="276" w:lineRule="auto"/>
        <w:jc w:val="left"/>
        <w:rPr>
          <w:rFonts w:ascii="Cambria" w:hAnsi="Cambria" w:cs="Times New Roman"/>
          <w:sz w:val="22"/>
          <w:lang w:val="en-US"/>
        </w:rPr>
      </w:pPr>
      <w:r w:rsidRPr="00C5133C">
        <w:rPr>
          <w:rFonts w:ascii="Cambria" w:hAnsi="Cambria" w:cs="Times New Roman"/>
          <w:sz w:val="22"/>
          <w:lang w:val="en-US"/>
        </w:rPr>
        <w:t>H</w:t>
      </w:r>
      <w:r w:rsidRPr="00C5133C">
        <w:rPr>
          <w:rFonts w:ascii="Cambria" w:hAnsi="Cambria" w:cs="Times New Roman"/>
          <w:sz w:val="22"/>
          <w:vertAlign w:val="subscript"/>
          <w:lang w:val="en-US"/>
        </w:rPr>
        <w:t>1</w:t>
      </w:r>
      <w:r w:rsidR="00143894">
        <w:rPr>
          <w:rFonts w:ascii="Cambria" w:hAnsi="Cambria" w:cs="Times New Roman"/>
          <w:sz w:val="22"/>
          <w:vertAlign w:val="subscript"/>
          <w:lang w:val="en-US"/>
        </w:rPr>
        <w:tab/>
      </w:r>
      <w:r w:rsidRPr="00C5133C">
        <w:rPr>
          <w:rFonts w:ascii="Cambria" w:hAnsi="Cambria" w:cs="Times New Roman"/>
          <w:sz w:val="22"/>
          <w:lang w:val="en-US"/>
        </w:rPr>
        <w:t>= data tidak terdistribusi normal</w:t>
      </w:r>
    </w:p>
    <w:p w14:paraId="225094D3" w14:textId="6248AADF" w:rsidR="00C374C8" w:rsidRDefault="00C374C8" w:rsidP="00C5133C">
      <w:pPr>
        <w:spacing w:line="276" w:lineRule="auto"/>
        <w:rPr>
          <w:rFonts w:ascii="Cambria" w:hAnsi="Cambria" w:cs="Times New Roman"/>
          <w:sz w:val="22"/>
          <w:lang w:val="en-US"/>
        </w:rPr>
      </w:pPr>
      <w:r w:rsidRPr="00C5133C">
        <w:rPr>
          <w:rFonts w:ascii="Cambria" w:hAnsi="Cambria" w:cs="Times New Roman"/>
          <w:sz w:val="22"/>
          <w:lang w:val="en-US"/>
        </w:rPr>
        <w:t>Nilai probabilitas yang mel</w:t>
      </w:r>
      <w:r w:rsidR="00845514">
        <w:rPr>
          <w:rFonts w:ascii="Cambria" w:hAnsi="Cambria" w:cs="Times New Roman"/>
          <w:sz w:val="22"/>
          <w:lang w:val="en-US"/>
        </w:rPr>
        <w:t>e</w:t>
      </w:r>
      <w:r w:rsidRPr="00C5133C">
        <w:rPr>
          <w:rFonts w:ascii="Cambria" w:hAnsi="Cambria" w:cs="Times New Roman"/>
          <w:sz w:val="22"/>
          <w:lang w:val="en-US"/>
        </w:rPr>
        <w:t>bihi tingkat signifikansi menunjukkan bahwa H</w:t>
      </w:r>
      <w:r w:rsidRPr="00C5133C">
        <w:rPr>
          <w:rFonts w:ascii="Cambria" w:hAnsi="Cambria" w:cs="Times New Roman"/>
          <w:sz w:val="22"/>
          <w:vertAlign w:val="subscript"/>
          <w:lang w:val="en-US"/>
        </w:rPr>
        <w:t>1</w:t>
      </w:r>
      <w:r w:rsidRPr="00C5133C">
        <w:rPr>
          <w:rFonts w:ascii="Cambria" w:hAnsi="Cambria" w:cs="Times New Roman"/>
          <w:sz w:val="22"/>
          <w:lang w:val="en-US"/>
        </w:rPr>
        <w:t xml:space="preserve"> ditolak dan H</w:t>
      </w:r>
      <w:r w:rsidRPr="00C5133C">
        <w:rPr>
          <w:rFonts w:ascii="Cambria" w:hAnsi="Cambria" w:cs="Times New Roman"/>
          <w:sz w:val="22"/>
          <w:vertAlign w:val="subscript"/>
          <w:lang w:val="en-US"/>
        </w:rPr>
        <w:t>0</w:t>
      </w:r>
      <w:r w:rsidRPr="00C5133C">
        <w:rPr>
          <w:rFonts w:ascii="Cambria" w:hAnsi="Cambria" w:cs="Times New Roman"/>
          <w:sz w:val="22"/>
          <w:lang w:val="en-US"/>
        </w:rPr>
        <w:t xml:space="preserve"> diterima, sehingga dapat disimpulkan bahwa data terdistribusi normal.</w:t>
      </w:r>
    </w:p>
    <w:p w14:paraId="0A98A021" w14:textId="77777777" w:rsidR="00143894" w:rsidRPr="00C5133C" w:rsidRDefault="00143894" w:rsidP="00C5133C">
      <w:pPr>
        <w:spacing w:line="276" w:lineRule="auto"/>
        <w:rPr>
          <w:rFonts w:ascii="Cambria" w:hAnsi="Cambria" w:cs="Times New Roman"/>
          <w:sz w:val="22"/>
          <w:lang w:val="en-US"/>
        </w:rPr>
      </w:pPr>
    </w:p>
    <w:p w14:paraId="2ABC723F" w14:textId="1C43D55A" w:rsidR="00C374C8" w:rsidRPr="00143894" w:rsidRDefault="00C374C8" w:rsidP="00C5133C">
      <w:pPr>
        <w:pStyle w:val="Heading5"/>
        <w:spacing w:line="276" w:lineRule="auto"/>
        <w:rPr>
          <w:rFonts w:ascii="Cambria" w:hAnsi="Cambria"/>
          <w:b/>
          <w:bCs/>
          <w:noProof/>
          <w:sz w:val="22"/>
          <w:lang w:val="en-US"/>
        </w:rPr>
      </w:pPr>
      <w:bookmarkStart w:id="18" w:name="_Toc84231597"/>
      <w:r w:rsidRPr="00143894">
        <w:rPr>
          <w:rFonts w:ascii="Cambria" w:hAnsi="Cambria"/>
          <w:b/>
          <w:bCs/>
          <w:sz w:val="22"/>
          <w:lang w:val="en-US"/>
        </w:rPr>
        <w:t xml:space="preserve">Tabel </w:t>
      </w:r>
      <w:r w:rsidR="00770F6C" w:rsidRPr="00143894">
        <w:rPr>
          <w:rFonts w:ascii="Cambria" w:hAnsi="Cambria"/>
          <w:b/>
          <w:bCs/>
          <w:sz w:val="22"/>
          <w:lang w:val="en-US"/>
        </w:rPr>
        <w:t>5</w:t>
      </w:r>
      <w:r w:rsidR="00143894">
        <w:rPr>
          <w:rFonts w:ascii="Cambria" w:hAnsi="Cambria"/>
          <w:b/>
          <w:bCs/>
          <w:sz w:val="22"/>
          <w:lang w:val="en-US"/>
        </w:rPr>
        <w:t>.</w:t>
      </w:r>
      <w:r w:rsidRPr="00143894">
        <w:rPr>
          <w:rFonts w:ascii="Cambria" w:hAnsi="Cambria"/>
          <w:b/>
          <w:bCs/>
          <w:sz w:val="22"/>
          <w:lang w:val="en-US"/>
        </w:rPr>
        <w:t xml:space="preserve"> Hasil Uji Multikolinearitas</w:t>
      </w:r>
      <w:bookmarkEnd w:id="18"/>
    </w:p>
    <w:p w14:paraId="2766AADA" w14:textId="584A4854" w:rsidR="00951810" w:rsidRPr="00C5133C" w:rsidRDefault="00951810" w:rsidP="00143894">
      <w:pPr>
        <w:spacing w:line="276" w:lineRule="auto"/>
        <w:ind w:firstLine="0"/>
        <w:jc w:val="center"/>
        <w:rPr>
          <w:rFonts w:ascii="Cambria" w:hAnsi="Cambria"/>
          <w:sz w:val="22"/>
          <w:lang w:val="en-US"/>
        </w:rPr>
      </w:pPr>
      <w:r w:rsidRPr="00C5133C">
        <w:rPr>
          <w:rFonts w:ascii="Cambria" w:hAnsi="Cambria"/>
          <w:noProof/>
          <w:sz w:val="22"/>
          <w:lang w:val="en-US"/>
        </w:rPr>
        <w:drawing>
          <wp:inline distT="0" distB="0" distL="0" distR="0" wp14:anchorId="4AAA1604" wp14:editId="7A1B630D">
            <wp:extent cx="5038725" cy="1600200"/>
            <wp:effectExtent l="0" t="0" r="9525" b="0"/>
            <wp:docPr id="37" name="Picture 3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Tabl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38725" cy="1600200"/>
                    </a:xfrm>
                    <a:prstGeom prst="rect">
                      <a:avLst/>
                    </a:prstGeom>
                    <a:noFill/>
                    <a:ln>
                      <a:noFill/>
                    </a:ln>
                  </pic:spPr>
                </pic:pic>
              </a:graphicData>
            </a:graphic>
          </wp:inline>
        </w:drawing>
      </w:r>
    </w:p>
    <w:p w14:paraId="715C9C7C" w14:textId="21862498" w:rsidR="00143894" w:rsidRDefault="00143894" w:rsidP="00143894">
      <w:pPr>
        <w:spacing w:line="276" w:lineRule="auto"/>
        <w:ind w:firstLine="0"/>
        <w:jc w:val="center"/>
        <w:rPr>
          <w:rFonts w:ascii="Cambria" w:hAnsi="Cambria" w:cs="Times New Roman"/>
          <w:sz w:val="22"/>
          <w:lang w:val="en-US"/>
        </w:rPr>
      </w:pPr>
      <w:r w:rsidRPr="00C5133C">
        <w:rPr>
          <w:rFonts w:ascii="Cambria" w:hAnsi="Cambria" w:cs="Times New Roman"/>
          <w:sz w:val="22"/>
          <w:lang w:val="en-US"/>
        </w:rPr>
        <w:t xml:space="preserve">Sumber: </w:t>
      </w:r>
      <w:r>
        <w:rPr>
          <w:rFonts w:ascii="Cambria" w:hAnsi="Cambria" w:cs="Times New Roman"/>
          <w:sz w:val="22"/>
          <w:lang w:val="en-US"/>
        </w:rPr>
        <w:t>Olahan data peneliti dengan</w:t>
      </w:r>
      <w:r w:rsidRPr="00C5133C">
        <w:rPr>
          <w:rFonts w:ascii="Cambria" w:hAnsi="Cambria" w:cs="Times New Roman"/>
          <w:sz w:val="22"/>
          <w:lang w:val="en-US"/>
        </w:rPr>
        <w:t xml:space="preserve"> </w:t>
      </w:r>
      <w:r>
        <w:rPr>
          <w:rFonts w:ascii="Cambria" w:hAnsi="Cambria" w:cs="Times New Roman"/>
          <w:i/>
          <w:iCs/>
          <w:sz w:val="22"/>
          <w:lang w:val="en-US"/>
        </w:rPr>
        <w:t>E</w:t>
      </w:r>
      <w:r w:rsidRPr="00C5133C">
        <w:rPr>
          <w:rFonts w:ascii="Cambria" w:hAnsi="Cambria" w:cs="Times New Roman"/>
          <w:i/>
          <w:iCs/>
          <w:sz w:val="22"/>
          <w:lang w:val="en-US"/>
        </w:rPr>
        <w:t>views</w:t>
      </w:r>
      <w:r w:rsidRPr="00C5133C">
        <w:rPr>
          <w:rFonts w:ascii="Cambria" w:hAnsi="Cambria" w:cs="Times New Roman"/>
          <w:sz w:val="22"/>
          <w:lang w:val="en-US"/>
        </w:rPr>
        <w:t xml:space="preserve"> 9</w:t>
      </w:r>
      <w:r>
        <w:rPr>
          <w:rFonts w:ascii="Cambria" w:hAnsi="Cambria" w:cs="Times New Roman"/>
          <w:sz w:val="22"/>
          <w:lang w:val="en-US"/>
        </w:rPr>
        <w:t xml:space="preserve"> (2021)</w:t>
      </w:r>
    </w:p>
    <w:p w14:paraId="3236B25D" w14:textId="77777777" w:rsidR="00143894" w:rsidRDefault="00143894" w:rsidP="00143894">
      <w:pPr>
        <w:spacing w:line="276" w:lineRule="auto"/>
        <w:ind w:firstLine="0"/>
        <w:jc w:val="center"/>
        <w:rPr>
          <w:rFonts w:ascii="Cambria" w:hAnsi="Cambria" w:cs="Times New Roman"/>
          <w:sz w:val="22"/>
          <w:lang w:val="en-US"/>
        </w:rPr>
      </w:pPr>
    </w:p>
    <w:p w14:paraId="7B4F0177" w14:textId="0D2FA81D" w:rsidR="00C374C8" w:rsidRDefault="00C374C8" w:rsidP="00C5133C">
      <w:pPr>
        <w:spacing w:line="276" w:lineRule="auto"/>
        <w:rPr>
          <w:rFonts w:ascii="Cambria" w:hAnsi="Cambria" w:cs="Times New Roman"/>
          <w:sz w:val="22"/>
          <w:lang w:val="en-US"/>
        </w:rPr>
      </w:pPr>
      <w:r w:rsidRPr="00C5133C">
        <w:rPr>
          <w:rFonts w:ascii="Cambria" w:hAnsi="Cambria" w:cs="Times New Roman"/>
          <w:sz w:val="22"/>
          <w:lang w:val="en-US"/>
        </w:rPr>
        <w:t xml:space="preserve">Model penelitian yang baik adalah model yang tidak terdapat masalah multikolinearitas diantara variabel independennya. Uji Multikolinearitas dilakukan untuk menguji korelasi di antara variabel </w:t>
      </w:r>
      <w:r w:rsidR="00143894">
        <w:rPr>
          <w:rFonts w:ascii="Cambria" w:hAnsi="Cambria" w:cs="Times New Roman"/>
          <w:sz w:val="22"/>
          <w:lang w:val="en-US"/>
        </w:rPr>
        <w:t>i</w:t>
      </w:r>
      <w:r w:rsidR="00177C2A" w:rsidRPr="00C5133C">
        <w:rPr>
          <w:rFonts w:ascii="Cambria" w:hAnsi="Cambria" w:cs="Times New Roman"/>
          <w:sz w:val="22"/>
          <w:lang w:val="en-US"/>
        </w:rPr>
        <w:t>ndependen</w:t>
      </w:r>
      <w:r w:rsidRPr="00C5133C">
        <w:rPr>
          <w:rFonts w:ascii="Cambria" w:hAnsi="Cambria" w:cs="Times New Roman"/>
          <w:sz w:val="22"/>
          <w:lang w:val="en-US"/>
        </w:rPr>
        <w:t xml:space="preserve"> dalam penelitian. Pengujian dilakukan dengan memperhatikan matriks korelasi antar variabel </w:t>
      </w:r>
      <w:r w:rsidR="00143894">
        <w:rPr>
          <w:rFonts w:ascii="Cambria" w:hAnsi="Cambria" w:cs="Times New Roman"/>
          <w:sz w:val="22"/>
          <w:lang w:val="en-US"/>
        </w:rPr>
        <w:t>i</w:t>
      </w:r>
      <w:r w:rsidR="00177C2A" w:rsidRPr="00C5133C">
        <w:rPr>
          <w:rFonts w:ascii="Cambria" w:hAnsi="Cambria" w:cs="Times New Roman"/>
          <w:sz w:val="22"/>
          <w:lang w:val="en-US"/>
        </w:rPr>
        <w:t>ndependen</w:t>
      </w:r>
      <w:r w:rsidRPr="00C5133C">
        <w:rPr>
          <w:rFonts w:ascii="Cambria" w:hAnsi="Cambria" w:cs="Times New Roman"/>
          <w:sz w:val="22"/>
          <w:lang w:val="en-US"/>
        </w:rPr>
        <w:t xml:space="preserve">. Masalah multikolinearitas terjadi apabila terdapat nilai korelasi melebihi 0,8 diantara variabel </w:t>
      </w:r>
      <w:r w:rsidR="00143894">
        <w:rPr>
          <w:rFonts w:ascii="Cambria" w:hAnsi="Cambria" w:cs="Times New Roman"/>
          <w:sz w:val="22"/>
          <w:lang w:val="en-US"/>
        </w:rPr>
        <w:t>i</w:t>
      </w:r>
      <w:r w:rsidR="00177C2A" w:rsidRPr="00C5133C">
        <w:rPr>
          <w:rFonts w:ascii="Cambria" w:hAnsi="Cambria" w:cs="Times New Roman"/>
          <w:sz w:val="22"/>
          <w:lang w:val="en-US"/>
        </w:rPr>
        <w:t>ndependen</w:t>
      </w:r>
      <w:r w:rsidRPr="00C5133C">
        <w:rPr>
          <w:rFonts w:ascii="Cambria" w:hAnsi="Cambria" w:cs="Times New Roman"/>
          <w:sz w:val="22"/>
          <w:lang w:val="en-US"/>
        </w:rPr>
        <w:t>. Berdasarkan tabel hasil Uji Multikolinearitas di atas, tidak terdapat variabel dengan nilai melebihi 0,8, sehingga dapat disimpulkan bahwa model penelitian bebas dari masalah multikolinearitas.</w:t>
      </w:r>
    </w:p>
    <w:p w14:paraId="49C43D0B" w14:textId="77777777" w:rsidR="00143894" w:rsidRPr="00C5133C" w:rsidRDefault="00143894" w:rsidP="00C5133C">
      <w:pPr>
        <w:spacing w:line="276" w:lineRule="auto"/>
        <w:rPr>
          <w:rFonts w:ascii="Cambria" w:hAnsi="Cambria" w:cs="Times New Roman"/>
          <w:sz w:val="22"/>
          <w:lang w:val="en-US"/>
        </w:rPr>
      </w:pPr>
    </w:p>
    <w:p w14:paraId="556EDD2E" w14:textId="0866A40B" w:rsidR="00C374C8" w:rsidRPr="00143894" w:rsidRDefault="00C374C8" w:rsidP="00143894">
      <w:pPr>
        <w:pStyle w:val="Heading5"/>
        <w:spacing w:line="276" w:lineRule="auto"/>
        <w:rPr>
          <w:rFonts w:ascii="Cambria" w:hAnsi="Cambria"/>
          <w:b/>
          <w:bCs/>
          <w:noProof/>
          <w:sz w:val="22"/>
          <w:lang w:val="en-US"/>
        </w:rPr>
      </w:pPr>
      <w:bookmarkStart w:id="19" w:name="_Toc84231598"/>
      <w:r w:rsidRPr="00143894">
        <w:rPr>
          <w:rFonts w:ascii="Cambria" w:hAnsi="Cambria"/>
          <w:b/>
          <w:bCs/>
          <w:sz w:val="22"/>
          <w:lang w:val="en-US"/>
        </w:rPr>
        <w:t xml:space="preserve">Tabel </w:t>
      </w:r>
      <w:r w:rsidR="00770F6C" w:rsidRPr="00143894">
        <w:rPr>
          <w:rFonts w:ascii="Cambria" w:hAnsi="Cambria"/>
          <w:b/>
          <w:bCs/>
          <w:sz w:val="22"/>
          <w:lang w:val="en-US"/>
        </w:rPr>
        <w:t>6</w:t>
      </w:r>
      <w:r w:rsidR="00143894">
        <w:rPr>
          <w:rFonts w:ascii="Cambria" w:hAnsi="Cambria"/>
          <w:b/>
          <w:bCs/>
          <w:sz w:val="22"/>
          <w:lang w:val="en-US"/>
        </w:rPr>
        <w:t>.</w:t>
      </w:r>
      <w:r w:rsidRPr="00143894">
        <w:rPr>
          <w:rFonts w:ascii="Cambria" w:hAnsi="Cambria"/>
          <w:b/>
          <w:bCs/>
          <w:sz w:val="22"/>
          <w:lang w:val="en-US"/>
        </w:rPr>
        <w:t xml:space="preserve"> Hasil Uji Heteroskedastisitas</w:t>
      </w:r>
      <w:bookmarkEnd w:id="19"/>
    </w:p>
    <w:p w14:paraId="05206BF9" w14:textId="7C1FE4AD" w:rsidR="00951810" w:rsidRPr="00C5133C" w:rsidRDefault="00951810" w:rsidP="00143894">
      <w:pPr>
        <w:spacing w:line="276" w:lineRule="auto"/>
        <w:ind w:firstLine="0"/>
        <w:jc w:val="center"/>
        <w:rPr>
          <w:rFonts w:ascii="Cambria" w:hAnsi="Cambria"/>
          <w:sz w:val="22"/>
          <w:lang w:val="en-US"/>
        </w:rPr>
      </w:pPr>
      <w:r w:rsidRPr="00C5133C">
        <w:rPr>
          <w:rFonts w:ascii="Cambria" w:hAnsi="Cambria"/>
          <w:noProof/>
          <w:sz w:val="22"/>
          <w:lang w:val="en-US"/>
        </w:rPr>
        <w:drawing>
          <wp:inline distT="0" distB="0" distL="0" distR="0" wp14:anchorId="337A39E9" wp14:editId="730C7356">
            <wp:extent cx="5038725" cy="1238250"/>
            <wp:effectExtent l="19050" t="19050" r="28575" b="19050"/>
            <wp:docPr id="36" name="Picture 3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Tabl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8725" cy="1238250"/>
                    </a:xfrm>
                    <a:prstGeom prst="rect">
                      <a:avLst/>
                    </a:prstGeom>
                    <a:noFill/>
                    <a:ln>
                      <a:solidFill>
                        <a:schemeClr val="tx1"/>
                      </a:solidFill>
                    </a:ln>
                  </pic:spPr>
                </pic:pic>
              </a:graphicData>
            </a:graphic>
          </wp:inline>
        </w:drawing>
      </w:r>
    </w:p>
    <w:p w14:paraId="64AFF3B0" w14:textId="77777777" w:rsidR="00143894" w:rsidRDefault="00143894" w:rsidP="00143894">
      <w:pPr>
        <w:spacing w:line="276" w:lineRule="auto"/>
        <w:ind w:firstLine="0"/>
        <w:jc w:val="center"/>
        <w:rPr>
          <w:rFonts w:ascii="Cambria" w:hAnsi="Cambria" w:cs="Times New Roman"/>
          <w:sz w:val="22"/>
          <w:lang w:val="en-US"/>
        </w:rPr>
      </w:pPr>
      <w:r w:rsidRPr="00C5133C">
        <w:rPr>
          <w:rFonts w:ascii="Cambria" w:hAnsi="Cambria" w:cs="Times New Roman"/>
          <w:sz w:val="22"/>
          <w:lang w:val="en-US"/>
        </w:rPr>
        <w:t xml:space="preserve">Sumber: </w:t>
      </w:r>
      <w:r>
        <w:rPr>
          <w:rFonts w:ascii="Cambria" w:hAnsi="Cambria" w:cs="Times New Roman"/>
          <w:sz w:val="22"/>
          <w:lang w:val="en-US"/>
        </w:rPr>
        <w:t>Olahan data peneliti dengan</w:t>
      </w:r>
      <w:r w:rsidRPr="00C5133C">
        <w:rPr>
          <w:rFonts w:ascii="Cambria" w:hAnsi="Cambria" w:cs="Times New Roman"/>
          <w:sz w:val="22"/>
          <w:lang w:val="en-US"/>
        </w:rPr>
        <w:t xml:space="preserve"> </w:t>
      </w:r>
      <w:r>
        <w:rPr>
          <w:rFonts w:ascii="Cambria" w:hAnsi="Cambria" w:cs="Times New Roman"/>
          <w:i/>
          <w:iCs/>
          <w:sz w:val="22"/>
          <w:lang w:val="en-US"/>
        </w:rPr>
        <w:t>E</w:t>
      </w:r>
      <w:r w:rsidRPr="00C5133C">
        <w:rPr>
          <w:rFonts w:ascii="Cambria" w:hAnsi="Cambria" w:cs="Times New Roman"/>
          <w:i/>
          <w:iCs/>
          <w:sz w:val="22"/>
          <w:lang w:val="en-US"/>
        </w:rPr>
        <w:t>views</w:t>
      </w:r>
      <w:r w:rsidRPr="00C5133C">
        <w:rPr>
          <w:rFonts w:ascii="Cambria" w:hAnsi="Cambria" w:cs="Times New Roman"/>
          <w:sz w:val="22"/>
          <w:lang w:val="en-US"/>
        </w:rPr>
        <w:t xml:space="preserve"> 9</w:t>
      </w:r>
      <w:r>
        <w:rPr>
          <w:rFonts w:ascii="Cambria" w:hAnsi="Cambria" w:cs="Times New Roman"/>
          <w:sz w:val="22"/>
          <w:lang w:val="en-US"/>
        </w:rPr>
        <w:t xml:space="preserve"> (2021)</w:t>
      </w:r>
    </w:p>
    <w:p w14:paraId="142B231D" w14:textId="77777777" w:rsidR="00143894" w:rsidRDefault="00143894" w:rsidP="00C5133C">
      <w:pPr>
        <w:spacing w:line="276" w:lineRule="auto"/>
        <w:rPr>
          <w:rFonts w:ascii="Cambria" w:hAnsi="Cambria" w:cs="Times New Roman"/>
          <w:sz w:val="22"/>
        </w:rPr>
      </w:pPr>
    </w:p>
    <w:p w14:paraId="2FEFFB4F" w14:textId="20FC8FF3" w:rsidR="00C374C8" w:rsidRPr="00C5133C" w:rsidRDefault="000B4A27" w:rsidP="00C5133C">
      <w:pPr>
        <w:spacing w:line="276" w:lineRule="auto"/>
        <w:rPr>
          <w:rFonts w:ascii="Cambria" w:hAnsi="Cambria" w:cs="Times New Roman"/>
          <w:sz w:val="22"/>
          <w:lang w:val="en-US"/>
        </w:rPr>
      </w:pPr>
      <w:r w:rsidRPr="00C5133C">
        <w:rPr>
          <w:rFonts w:ascii="Cambria" w:hAnsi="Cambria" w:cs="Times New Roman"/>
          <w:sz w:val="22"/>
        </w:rPr>
        <w:t xml:space="preserve">Menurut </w:t>
      </w:r>
      <w:r w:rsidRPr="00C5133C">
        <w:rPr>
          <w:rFonts w:ascii="Cambria" w:hAnsi="Cambria" w:cs="Times New Roman"/>
          <w:sz w:val="22"/>
        </w:rPr>
        <w:fldChar w:fldCharType="begin" w:fldLock="1"/>
      </w:r>
      <w:r w:rsidRPr="00C5133C">
        <w:rPr>
          <w:rFonts w:ascii="Cambria" w:hAnsi="Cambria" w:cs="Times New Roman"/>
          <w:sz w:val="22"/>
        </w:rPr>
        <w:instrText>ADDIN CSL_CITATION {"citationItems":[{"id":"ITEM-1","itemData":{"abstract":"Paper ini mengevaluasi dampak perdagangan internasional Indonesia terhadap kesejahteraan masyarakat, dengan memanfaatkan dua perangkat analisa yaitu Sistem Neraca Sosial Ekonomi 2008 (SNSE 2008) dan Structural Path Analysis (SPA). Pada sisi ekspor, hasil simulasi menunjukkan bahwa untuk kelompok komoditi Pertanian, ekspor ke luar negeri mempengaruhi kesejahteraan masyarakat lebih melalui jalur tenaga kerja. Pada kelompok industri, jalur modal lebih dominan; ditunjukkan dengan besaran pengganda yang lebih besar relatif terhadap jalur tenaga kerja. Dari sisi impor, dampak terhadap tingkat kesejahteraan masyarakat disalurkan melalui dua jalur utama yakni jalur produksi dan jalur penerimaan pajak. Faktor produksi yang terlibat dalam proses ini terdiri dari pekerja dengan pendapatan menengah yang tinggal di perkotaan dan pengusaha berpendapatan menengah baik di pedesaan maupun di perkotaan. I. PENDAHULUAN Diplomasi ekonomi kini menjadi salah satu prioritas dalam politik luar negeri Indonesia terutama sejak pemerintahan terakhir (era Presiden Joko Widodo). Presiden Indonesia menyampaikan bahwa seluruh duta besar RI harus berperan sebagai salesman, dengan porsi 90 persen aspek ekonomi dan hanya 10 persen untuk aspek politik (Susilo, 2014). Jokowi menginginkan akses pasar-pasar luar negeri diperluas sehingga dapat mendorong volume ekspor Indonesia. Diharapkan dengan berkembangnya ekspor Indonesia, maka pada akhirnya dapat membantu mendorong perekonomian dalam negeri termasuk mensejahterakan seluruh masyarakat Indonesia. Diplomasi ekonomi untuk mencapai kesejahteraan ekonomi menjadi bagian yang semakin penting dalam politik luar negeri di berbagai negara, dan salah satu bagian dari diplomasi ekonomi ini adalah diplomasi perdagangan. Perdagangan luar negeri merupakan salah satu variabel penting pertumbuhan ekonomi di suatu perekonomian; tidak mengherankan bahwa seluruh negara berupaya keras untuk mendorong kerjasama perdagangan dengan tujuan mendorong pertumbuhan ekonomi. Mudahnya tujuan tersebut dapat dicapai dengan mendorong ekspor dalam negeri dan mengurangi volume impor sebagaimana dipahami oleh para ekonom beraliran merkantilis. Salah satu indikator pertumbuhan ekonomi adalah dengan Produk Domestik Bruto (PDB). PDB merupakan indikator kesejahteraan perekonomian di suatu negara dan dapat menjadi rujukan untuk mengukur kesejahteraan masyarakat yang diukur dengan tingkat pendapatan (income). Maka semakin meningkat ekspor suatu negara, pendapatan masyarakat akan…","author":[{"dropping-particle":"","family":"Ghozali","given":"Imam.","non-dropping-particle":"","parse-names":false,"suffix":""}],"container-title":"Analisis Multivariate dengan Program SPSS","id":"ITEM-1","issued":{"date-parts":[["2016"]]},"title":"Aplikasi Analisis Multivariate dengan Program SPSS. Semarang: Badan Penerbit UNDIP.","type":"article-journal"},"uris":["http://www.mendeley.com/documents/?uuid=1c63b8e2-b82d-3f48-b0fd-f3693841ca92","http://www.mendeley.com/documents/?uuid=75f47bde-1431-4439-91e0-ee23a272a9a6"]}],"mendeley":{"formattedCitation":"(Ghozali, 2016)","manualFormatting":"Ghozali (2016)","plainTextFormattedCitation":"(Ghozali, 2016)","previouslyFormattedCitation":"(Ghozali, 2016)"},"properties":{"noteIndex":0},"schema":"https://github.com/citation-style-language/schema/raw/master/csl-citation.json"}</w:instrText>
      </w:r>
      <w:r w:rsidRPr="00C5133C">
        <w:rPr>
          <w:rFonts w:ascii="Cambria" w:hAnsi="Cambria" w:cs="Times New Roman"/>
          <w:sz w:val="22"/>
        </w:rPr>
        <w:fldChar w:fldCharType="separate"/>
      </w:r>
      <w:r w:rsidRPr="00C5133C">
        <w:rPr>
          <w:rFonts w:ascii="Cambria" w:hAnsi="Cambria" w:cs="Times New Roman"/>
          <w:noProof/>
          <w:sz w:val="22"/>
        </w:rPr>
        <w:t>Ghozali (2016)</w:t>
      </w:r>
      <w:r w:rsidRPr="00C5133C">
        <w:rPr>
          <w:rFonts w:ascii="Cambria" w:hAnsi="Cambria" w:cs="Times New Roman"/>
          <w:sz w:val="22"/>
          <w:lang w:val="id-ID"/>
        </w:rPr>
        <w:fldChar w:fldCharType="end"/>
      </w:r>
      <w:r w:rsidRPr="00C5133C">
        <w:rPr>
          <w:rFonts w:ascii="Cambria" w:hAnsi="Cambria" w:cs="Times New Roman"/>
          <w:sz w:val="22"/>
        </w:rPr>
        <w:t xml:space="preserve">, uji heteroskedastisitas dilakukan untuk menguji adanya ketidaksamaan varian dalam residual pada tiap pengamatan. Apabila varian dalam residual di tiap pengamatan selalu tetap maka model regresi dikatakan baik. </w:t>
      </w:r>
      <w:r w:rsidR="00C374C8" w:rsidRPr="00C5133C">
        <w:rPr>
          <w:rFonts w:ascii="Cambria" w:hAnsi="Cambria" w:cs="Times New Roman"/>
          <w:sz w:val="22"/>
          <w:lang w:val="en-US"/>
        </w:rPr>
        <w:t xml:space="preserve">Uji Heteroskedastisitas dilakukan untuk menguji apakah dalam regresi terjadi ketidaksamaan varian dari residual satu pengamatan ke pengamatan lain. Pengujian dilakukan dengan Uji </w:t>
      </w:r>
      <w:r w:rsidR="00C374C8" w:rsidRPr="00143894">
        <w:rPr>
          <w:rFonts w:ascii="Cambria" w:hAnsi="Cambria" w:cs="Times New Roman"/>
          <w:i/>
          <w:iCs/>
          <w:sz w:val="22"/>
          <w:lang w:val="en-US"/>
        </w:rPr>
        <w:t>Breusch-Pagan-Godfrey</w:t>
      </w:r>
      <w:r w:rsidR="00C374C8" w:rsidRPr="00C5133C">
        <w:rPr>
          <w:rFonts w:ascii="Cambria" w:hAnsi="Cambria" w:cs="Times New Roman"/>
          <w:sz w:val="22"/>
          <w:lang w:val="en-US"/>
        </w:rPr>
        <w:t xml:space="preserve"> menggunakan aplikasi </w:t>
      </w:r>
      <w:r w:rsidR="00C374C8" w:rsidRPr="00143894">
        <w:rPr>
          <w:rFonts w:ascii="Cambria" w:hAnsi="Cambria" w:cs="Times New Roman"/>
          <w:i/>
          <w:iCs/>
          <w:sz w:val="22"/>
          <w:lang w:val="en-US"/>
        </w:rPr>
        <w:t>Eview</w:t>
      </w:r>
      <w:r w:rsidR="00C374C8" w:rsidRPr="00C5133C">
        <w:rPr>
          <w:rFonts w:ascii="Cambria" w:hAnsi="Cambria" w:cs="Times New Roman"/>
          <w:sz w:val="22"/>
          <w:lang w:val="en-US"/>
        </w:rPr>
        <w:t>s. Uji Heteroskedastisitas menggunakan hipotesis sebagai berikut:</w:t>
      </w:r>
    </w:p>
    <w:p w14:paraId="2488D965" w14:textId="55EECE19" w:rsidR="00C374C8" w:rsidRPr="00C5133C" w:rsidRDefault="00C374C8" w:rsidP="00C5133C">
      <w:pPr>
        <w:spacing w:line="276" w:lineRule="auto"/>
        <w:jc w:val="left"/>
        <w:rPr>
          <w:rFonts w:ascii="Cambria" w:hAnsi="Cambria" w:cs="Times New Roman"/>
          <w:sz w:val="22"/>
          <w:lang w:val="en-US"/>
        </w:rPr>
      </w:pPr>
      <w:r w:rsidRPr="00C5133C">
        <w:rPr>
          <w:rFonts w:ascii="Cambria" w:hAnsi="Cambria" w:cs="Times New Roman"/>
          <w:sz w:val="22"/>
          <w:lang w:val="en-US"/>
        </w:rPr>
        <w:t>H</w:t>
      </w:r>
      <w:r w:rsidRPr="00C5133C">
        <w:rPr>
          <w:rFonts w:ascii="Cambria" w:hAnsi="Cambria" w:cs="Times New Roman"/>
          <w:sz w:val="22"/>
          <w:vertAlign w:val="subscript"/>
          <w:lang w:val="en-US"/>
        </w:rPr>
        <w:t>0</w:t>
      </w:r>
      <w:r w:rsidR="00143894">
        <w:rPr>
          <w:rFonts w:ascii="Cambria" w:hAnsi="Cambria" w:cs="Times New Roman"/>
          <w:sz w:val="22"/>
          <w:vertAlign w:val="subscript"/>
          <w:lang w:val="en-US"/>
        </w:rPr>
        <w:tab/>
      </w:r>
      <w:r w:rsidRPr="00C5133C">
        <w:rPr>
          <w:rFonts w:ascii="Cambria" w:hAnsi="Cambria" w:cs="Times New Roman"/>
          <w:sz w:val="22"/>
          <w:lang w:val="en-US"/>
        </w:rPr>
        <w:t>= ada masalah</w:t>
      </w:r>
      <w:r w:rsidR="0041166D" w:rsidRPr="00C5133C">
        <w:rPr>
          <w:rFonts w:ascii="Cambria" w:hAnsi="Cambria" w:cs="Times New Roman"/>
          <w:sz w:val="22"/>
          <w:lang w:val="en-US"/>
        </w:rPr>
        <w:t xml:space="preserve"> heteroskedastisitas</w:t>
      </w:r>
    </w:p>
    <w:p w14:paraId="3108CD69" w14:textId="4565889F" w:rsidR="00C374C8" w:rsidRPr="00C5133C" w:rsidRDefault="00C374C8" w:rsidP="00C5133C">
      <w:pPr>
        <w:spacing w:line="276" w:lineRule="auto"/>
        <w:rPr>
          <w:rFonts w:ascii="Cambria" w:hAnsi="Cambria" w:cs="Times New Roman"/>
          <w:sz w:val="22"/>
          <w:lang w:val="en-US"/>
        </w:rPr>
      </w:pPr>
      <w:r w:rsidRPr="00C5133C">
        <w:rPr>
          <w:rFonts w:ascii="Cambria" w:hAnsi="Cambria" w:cs="Times New Roman"/>
          <w:sz w:val="22"/>
          <w:lang w:val="en-US"/>
        </w:rPr>
        <w:t>H</w:t>
      </w:r>
      <w:r w:rsidRPr="00C5133C">
        <w:rPr>
          <w:rFonts w:ascii="Cambria" w:hAnsi="Cambria" w:cs="Times New Roman"/>
          <w:sz w:val="22"/>
          <w:vertAlign w:val="subscript"/>
          <w:lang w:val="en-US"/>
        </w:rPr>
        <w:t>1</w:t>
      </w:r>
      <w:r w:rsidR="00143894">
        <w:rPr>
          <w:rFonts w:ascii="Cambria" w:hAnsi="Cambria" w:cs="Times New Roman"/>
          <w:sz w:val="22"/>
          <w:vertAlign w:val="subscript"/>
          <w:lang w:val="en-US"/>
        </w:rPr>
        <w:tab/>
      </w:r>
      <w:r w:rsidR="0041166D" w:rsidRPr="00C5133C">
        <w:rPr>
          <w:rFonts w:ascii="Cambria" w:hAnsi="Cambria" w:cs="Times New Roman"/>
          <w:sz w:val="22"/>
          <w:lang w:val="en-US"/>
        </w:rPr>
        <w:t>= tidak ada masalah heteroskedastisitas</w:t>
      </w:r>
    </w:p>
    <w:p w14:paraId="39BD0731" w14:textId="5C16F402" w:rsidR="00C374C8" w:rsidRPr="00C5133C" w:rsidRDefault="00C374C8" w:rsidP="00C5133C">
      <w:pPr>
        <w:spacing w:line="276" w:lineRule="auto"/>
        <w:rPr>
          <w:rFonts w:ascii="Cambria" w:hAnsi="Cambria"/>
          <w:sz w:val="22"/>
          <w:lang w:val="en-US"/>
        </w:rPr>
      </w:pPr>
      <w:r w:rsidRPr="00C5133C">
        <w:rPr>
          <w:rFonts w:ascii="Cambria" w:hAnsi="Cambria"/>
          <w:sz w:val="22"/>
          <w:lang w:val="en-US"/>
        </w:rPr>
        <w:t>Berdasarkan hasil uji</w:t>
      </w:r>
      <w:r w:rsidR="0041166D" w:rsidRPr="00C5133C">
        <w:rPr>
          <w:rFonts w:ascii="Cambria" w:hAnsi="Cambria"/>
          <w:sz w:val="22"/>
          <w:lang w:val="en-US"/>
        </w:rPr>
        <w:t>,</w:t>
      </w:r>
      <w:r w:rsidRPr="00C5133C">
        <w:rPr>
          <w:rFonts w:ascii="Cambria" w:hAnsi="Cambria"/>
          <w:sz w:val="22"/>
          <w:lang w:val="en-US"/>
        </w:rPr>
        <w:t xml:space="preserve"> H</w:t>
      </w:r>
      <w:r w:rsidRPr="00C5133C">
        <w:rPr>
          <w:rFonts w:ascii="Cambria" w:hAnsi="Cambria"/>
          <w:sz w:val="22"/>
          <w:vertAlign w:val="subscript"/>
          <w:lang w:val="en-US"/>
        </w:rPr>
        <w:t>0</w:t>
      </w:r>
      <w:r w:rsidRPr="00C5133C">
        <w:rPr>
          <w:rFonts w:ascii="Cambria" w:hAnsi="Cambria"/>
          <w:sz w:val="22"/>
          <w:lang w:val="en-US"/>
        </w:rPr>
        <w:t xml:space="preserve"> ditolak karena prob&gt;α, sehingga dapat disimpulkan bahwa model mengalami masalah heteroskedastisitas. Untuk mengatasi masalah heteroskedastisitas, perlu dilakukan estimasi model CEM dengan menggunakan GLS Weight sehingga varians akan menjadi konstan</w:t>
      </w:r>
      <w:r w:rsidR="00505D7B">
        <w:rPr>
          <w:rFonts w:ascii="Cambria" w:hAnsi="Cambria"/>
          <w:sz w:val="22"/>
          <w:lang w:val="en-US"/>
        </w:rPr>
        <w:t>.</w:t>
      </w:r>
      <w:r w:rsidRPr="00C5133C">
        <w:rPr>
          <w:rFonts w:ascii="Cambria" w:hAnsi="Cambria"/>
          <w:sz w:val="22"/>
          <w:lang w:val="en-US"/>
        </w:rPr>
        <w:t xml:space="preserve"> Dengan metode ini, model penelitian terbebas dari masalah heteroskedastisitas.</w:t>
      </w:r>
    </w:p>
    <w:p w14:paraId="7D46D16E" w14:textId="0607E71F" w:rsidR="00C374C8" w:rsidRPr="00143894" w:rsidRDefault="00C374C8" w:rsidP="00C5133C">
      <w:pPr>
        <w:pStyle w:val="Heading5"/>
        <w:spacing w:line="276" w:lineRule="auto"/>
        <w:rPr>
          <w:rFonts w:ascii="Cambria" w:hAnsi="Cambria"/>
          <w:b/>
          <w:bCs/>
          <w:noProof/>
          <w:sz w:val="22"/>
          <w:lang w:val="en-US"/>
        </w:rPr>
      </w:pPr>
      <w:bookmarkStart w:id="20" w:name="_Toc84231599"/>
      <w:r w:rsidRPr="00143894">
        <w:rPr>
          <w:rFonts w:ascii="Cambria" w:hAnsi="Cambria"/>
          <w:b/>
          <w:bCs/>
          <w:sz w:val="22"/>
          <w:lang w:val="en-US"/>
        </w:rPr>
        <w:lastRenderedPageBreak/>
        <w:t xml:space="preserve">Tabel </w:t>
      </w:r>
      <w:r w:rsidR="00770F6C" w:rsidRPr="00143894">
        <w:rPr>
          <w:rFonts w:ascii="Cambria" w:hAnsi="Cambria"/>
          <w:b/>
          <w:bCs/>
          <w:sz w:val="22"/>
          <w:lang w:val="en-US"/>
        </w:rPr>
        <w:t>7</w:t>
      </w:r>
      <w:r w:rsidR="00143894">
        <w:rPr>
          <w:rFonts w:ascii="Cambria" w:hAnsi="Cambria"/>
          <w:b/>
          <w:bCs/>
          <w:sz w:val="22"/>
          <w:lang w:val="en-US"/>
        </w:rPr>
        <w:t>.</w:t>
      </w:r>
      <w:r w:rsidRPr="00143894">
        <w:rPr>
          <w:rFonts w:ascii="Cambria" w:hAnsi="Cambria"/>
          <w:b/>
          <w:bCs/>
          <w:sz w:val="22"/>
          <w:lang w:val="en-US"/>
        </w:rPr>
        <w:t xml:space="preserve"> Hasil Uji Autokorelasi</w:t>
      </w:r>
      <w:bookmarkEnd w:id="20"/>
    </w:p>
    <w:p w14:paraId="6D13323E" w14:textId="6ACA9241" w:rsidR="00951810" w:rsidRPr="00C5133C" w:rsidRDefault="00951810" w:rsidP="00143894">
      <w:pPr>
        <w:spacing w:line="276" w:lineRule="auto"/>
        <w:ind w:firstLine="0"/>
        <w:jc w:val="center"/>
        <w:rPr>
          <w:rFonts w:ascii="Cambria" w:hAnsi="Cambria"/>
          <w:sz w:val="22"/>
          <w:lang w:val="en-US"/>
        </w:rPr>
      </w:pPr>
      <w:r w:rsidRPr="00C5133C">
        <w:rPr>
          <w:rFonts w:ascii="Cambria" w:hAnsi="Cambria"/>
          <w:noProof/>
          <w:sz w:val="22"/>
          <w:lang w:val="en-US"/>
        </w:rPr>
        <w:drawing>
          <wp:inline distT="0" distB="0" distL="0" distR="0" wp14:anchorId="5F95D12D" wp14:editId="1186A14A">
            <wp:extent cx="5038725" cy="857250"/>
            <wp:effectExtent l="19050" t="19050" r="28575" b="19050"/>
            <wp:docPr id="35" name="Picture 3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Tabl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38725" cy="857250"/>
                    </a:xfrm>
                    <a:prstGeom prst="rect">
                      <a:avLst/>
                    </a:prstGeom>
                    <a:noFill/>
                    <a:ln>
                      <a:solidFill>
                        <a:schemeClr val="tx1"/>
                      </a:solidFill>
                    </a:ln>
                  </pic:spPr>
                </pic:pic>
              </a:graphicData>
            </a:graphic>
          </wp:inline>
        </w:drawing>
      </w:r>
    </w:p>
    <w:p w14:paraId="20DD700F" w14:textId="783A55CB" w:rsidR="00C374C8" w:rsidRDefault="00143894" w:rsidP="00143894">
      <w:pPr>
        <w:spacing w:line="276" w:lineRule="auto"/>
        <w:ind w:firstLine="0"/>
        <w:jc w:val="center"/>
        <w:rPr>
          <w:rFonts w:ascii="Cambria" w:hAnsi="Cambria" w:cs="Times New Roman"/>
          <w:sz w:val="22"/>
          <w:lang w:val="en-US"/>
        </w:rPr>
      </w:pPr>
      <w:r w:rsidRPr="00C5133C">
        <w:rPr>
          <w:rFonts w:ascii="Cambria" w:hAnsi="Cambria" w:cs="Times New Roman"/>
          <w:sz w:val="22"/>
          <w:lang w:val="en-US"/>
        </w:rPr>
        <w:t xml:space="preserve">Sumber: </w:t>
      </w:r>
      <w:r>
        <w:rPr>
          <w:rFonts w:ascii="Cambria" w:hAnsi="Cambria" w:cs="Times New Roman"/>
          <w:sz w:val="22"/>
          <w:lang w:val="en-US"/>
        </w:rPr>
        <w:t>Olahan data peneliti dengan</w:t>
      </w:r>
      <w:r w:rsidRPr="00C5133C">
        <w:rPr>
          <w:rFonts w:ascii="Cambria" w:hAnsi="Cambria" w:cs="Times New Roman"/>
          <w:sz w:val="22"/>
          <w:lang w:val="en-US"/>
        </w:rPr>
        <w:t xml:space="preserve"> </w:t>
      </w:r>
      <w:r>
        <w:rPr>
          <w:rFonts w:ascii="Cambria" w:hAnsi="Cambria" w:cs="Times New Roman"/>
          <w:i/>
          <w:iCs/>
          <w:sz w:val="22"/>
          <w:lang w:val="en-US"/>
        </w:rPr>
        <w:t>E</w:t>
      </w:r>
      <w:r w:rsidRPr="00C5133C">
        <w:rPr>
          <w:rFonts w:ascii="Cambria" w:hAnsi="Cambria" w:cs="Times New Roman"/>
          <w:i/>
          <w:iCs/>
          <w:sz w:val="22"/>
          <w:lang w:val="en-US"/>
        </w:rPr>
        <w:t>views</w:t>
      </w:r>
      <w:r w:rsidRPr="00C5133C">
        <w:rPr>
          <w:rFonts w:ascii="Cambria" w:hAnsi="Cambria" w:cs="Times New Roman"/>
          <w:sz w:val="22"/>
          <w:lang w:val="en-US"/>
        </w:rPr>
        <w:t xml:space="preserve"> 9</w:t>
      </w:r>
      <w:r>
        <w:rPr>
          <w:rFonts w:ascii="Cambria" w:hAnsi="Cambria" w:cs="Times New Roman"/>
          <w:sz w:val="22"/>
          <w:lang w:val="en-US"/>
        </w:rPr>
        <w:t xml:space="preserve"> (2021)</w:t>
      </w:r>
    </w:p>
    <w:p w14:paraId="53C8C0AB" w14:textId="77777777" w:rsidR="00143894" w:rsidRPr="00C5133C" w:rsidRDefault="00143894" w:rsidP="00C5133C">
      <w:pPr>
        <w:spacing w:line="276" w:lineRule="auto"/>
        <w:ind w:firstLine="0"/>
        <w:jc w:val="center"/>
        <w:rPr>
          <w:rFonts w:ascii="Cambria" w:hAnsi="Cambria" w:cs="Times New Roman"/>
          <w:sz w:val="22"/>
          <w:lang w:val="en-US"/>
        </w:rPr>
      </w:pPr>
    </w:p>
    <w:p w14:paraId="4AAE06A1" w14:textId="0B9859AF" w:rsidR="00172514" w:rsidRPr="00C5133C" w:rsidRDefault="00C374C8" w:rsidP="00C5133C">
      <w:pPr>
        <w:spacing w:line="276" w:lineRule="auto"/>
        <w:rPr>
          <w:rFonts w:ascii="Cambria" w:hAnsi="Cambria" w:cs="Times New Roman"/>
          <w:sz w:val="22"/>
          <w:lang w:val="en-US"/>
        </w:rPr>
      </w:pPr>
      <w:r w:rsidRPr="00C5133C">
        <w:rPr>
          <w:rFonts w:ascii="Cambria" w:hAnsi="Cambria" w:cs="Times New Roman"/>
          <w:sz w:val="22"/>
          <w:lang w:val="en-US"/>
        </w:rPr>
        <w:t xml:space="preserve">Uji Autokorelasi dilakukan untuk mengetahui apakah komponen error di dalam model berkorelasi dengan dirinya sendiri menurut urutan waktu atau ruang. Pengujian dilakukan dengan Uji </w:t>
      </w:r>
      <w:r w:rsidRPr="00143894">
        <w:rPr>
          <w:rFonts w:ascii="Cambria" w:hAnsi="Cambria" w:cs="Times New Roman"/>
          <w:i/>
          <w:iCs/>
          <w:sz w:val="22"/>
          <w:lang w:val="en-US"/>
        </w:rPr>
        <w:t>Breusch-Godfrey</w:t>
      </w:r>
      <w:r w:rsidRPr="00C5133C">
        <w:rPr>
          <w:rFonts w:ascii="Cambria" w:hAnsi="Cambria" w:cs="Times New Roman"/>
          <w:sz w:val="22"/>
          <w:lang w:val="en-US"/>
        </w:rPr>
        <w:t xml:space="preserve"> menggunakan bantuan aplikasi </w:t>
      </w:r>
      <w:r w:rsidRPr="00774B59">
        <w:rPr>
          <w:rFonts w:ascii="Cambria" w:hAnsi="Cambria" w:cs="Times New Roman"/>
          <w:i/>
          <w:iCs/>
          <w:sz w:val="22"/>
          <w:lang w:val="en-US"/>
        </w:rPr>
        <w:t>Eviews</w:t>
      </w:r>
      <w:r w:rsidRPr="00C5133C">
        <w:rPr>
          <w:rFonts w:ascii="Cambria" w:hAnsi="Cambria" w:cs="Times New Roman"/>
          <w:sz w:val="22"/>
          <w:lang w:val="en-US"/>
        </w:rPr>
        <w:t>. Uji Autokorelasi menggunakan hipotesis sebagai berikut:</w:t>
      </w:r>
    </w:p>
    <w:p w14:paraId="03F70EAB" w14:textId="5F4C4A4B" w:rsidR="00C374C8" w:rsidRPr="00C5133C" w:rsidRDefault="00C374C8" w:rsidP="00C5133C">
      <w:pPr>
        <w:spacing w:line="276" w:lineRule="auto"/>
        <w:jc w:val="left"/>
        <w:rPr>
          <w:rFonts w:ascii="Cambria" w:hAnsi="Cambria" w:cs="Times New Roman"/>
          <w:sz w:val="22"/>
          <w:lang w:val="en-US"/>
        </w:rPr>
      </w:pPr>
      <w:r w:rsidRPr="00C5133C">
        <w:rPr>
          <w:rFonts w:ascii="Cambria" w:hAnsi="Cambria" w:cs="Times New Roman"/>
          <w:sz w:val="22"/>
          <w:lang w:val="en-US"/>
        </w:rPr>
        <w:t>H</w:t>
      </w:r>
      <w:r w:rsidRPr="00C5133C">
        <w:rPr>
          <w:rFonts w:ascii="Cambria" w:hAnsi="Cambria" w:cs="Times New Roman"/>
          <w:sz w:val="22"/>
          <w:vertAlign w:val="subscript"/>
          <w:lang w:val="en-US"/>
        </w:rPr>
        <w:t>0</w:t>
      </w:r>
      <w:r w:rsidR="00774B59">
        <w:rPr>
          <w:rFonts w:ascii="Cambria" w:hAnsi="Cambria" w:cs="Times New Roman"/>
          <w:sz w:val="22"/>
          <w:vertAlign w:val="subscript"/>
          <w:lang w:val="en-US"/>
        </w:rPr>
        <w:tab/>
      </w:r>
      <w:r w:rsidRPr="00C5133C">
        <w:rPr>
          <w:rFonts w:ascii="Cambria" w:hAnsi="Cambria" w:cs="Times New Roman"/>
          <w:sz w:val="22"/>
          <w:lang w:val="en-US"/>
        </w:rPr>
        <w:t>= ada masalah autokorelasi</w:t>
      </w:r>
    </w:p>
    <w:p w14:paraId="37FA55F7" w14:textId="0CCB0886" w:rsidR="00C374C8" w:rsidRPr="00C5133C" w:rsidRDefault="00C374C8" w:rsidP="00C5133C">
      <w:pPr>
        <w:spacing w:line="276" w:lineRule="auto"/>
        <w:rPr>
          <w:rFonts w:ascii="Cambria" w:hAnsi="Cambria" w:cs="Times New Roman"/>
          <w:sz w:val="22"/>
          <w:lang w:val="en-US"/>
        </w:rPr>
      </w:pPr>
      <w:r w:rsidRPr="00C5133C">
        <w:rPr>
          <w:rFonts w:ascii="Cambria" w:hAnsi="Cambria" w:cs="Times New Roman"/>
          <w:sz w:val="22"/>
          <w:lang w:val="en-US"/>
        </w:rPr>
        <w:t>H</w:t>
      </w:r>
      <w:r w:rsidRPr="00C5133C">
        <w:rPr>
          <w:rFonts w:ascii="Cambria" w:hAnsi="Cambria" w:cs="Times New Roman"/>
          <w:sz w:val="22"/>
          <w:vertAlign w:val="subscript"/>
          <w:lang w:val="en-US"/>
        </w:rPr>
        <w:t>1</w:t>
      </w:r>
      <w:r w:rsidR="00774B59">
        <w:rPr>
          <w:rFonts w:ascii="Cambria" w:hAnsi="Cambria" w:cs="Times New Roman"/>
          <w:sz w:val="22"/>
          <w:vertAlign w:val="subscript"/>
          <w:lang w:val="en-US"/>
        </w:rPr>
        <w:tab/>
      </w:r>
      <w:r w:rsidRPr="00C5133C">
        <w:rPr>
          <w:rFonts w:ascii="Cambria" w:hAnsi="Cambria" w:cs="Times New Roman"/>
          <w:sz w:val="22"/>
          <w:lang w:val="en-US"/>
        </w:rPr>
        <w:t>= tidak ada masalah autokorelasi</w:t>
      </w:r>
    </w:p>
    <w:p w14:paraId="19C0C624" w14:textId="6412B805" w:rsidR="00C374C8" w:rsidRDefault="00C374C8" w:rsidP="00C5133C">
      <w:pPr>
        <w:spacing w:line="276" w:lineRule="auto"/>
        <w:rPr>
          <w:rFonts w:ascii="Cambria" w:hAnsi="Cambria" w:cs="Times New Roman"/>
          <w:sz w:val="22"/>
          <w:lang w:val="en-US"/>
        </w:rPr>
      </w:pPr>
      <w:r w:rsidRPr="00C5133C">
        <w:rPr>
          <w:rFonts w:ascii="Cambria" w:hAnsi="Cambria" w:cs="Times New Roman"/>
          <w:sz w:val="22"/>
          <w:lang w:val="en-US"/>
        </w:rPr>
        <w:t>Berdasarkan hasil uji</w:t>
      </w:r>
      <w:r w:rsidR="005A5911" w:rsidRPr="00C5133C">
        <w:rPr>
          <w:rFonts w:ascii="Cambria" w:hAnsi="Cambria" w:cs="Times New Roman"/>
          <w:sz w:val="22"/>
          <w:lang w:val="en-US"/>
        </w:rPr>
        <w:t>,</w:t>
      </w:r>
      <w:r w:rsidRPr="00C5133C">
        <w:rPr>
          <w:rFonts w:ascii="Cambria" w:hAnsi="Cambria" w:cs="Times New Roman"/>
          <w:sz w:val="22"/>
          <w:lang w:val="en-US"/>
        </w:rPr>
        <w:t xml:space="preserve"> H</w:t>
      </w:r>
      <w:r w:rsidR="005A5911" w:rsidRPr="00C5133C">
        <w:rPr>
          <w:rFonts w:ascii="Cambria" w:hAnsi="Cambria" w:cs="Times New Roman"/>
          <w:sz w:val="22"/>
          <w:vertAlign w:val="subscript"/>
          <w:lang w:val="en-US"/>
        </w:rPr>
        <w:t xml:space="preserve">0 </w:t>
      </w:r>
      <w:r w:rsidRPr="00C5133C">
        <w:rPr>
          <w:rFonts w:ascii="Cambria" w:hAnsi="Cambria" w:cs="Times New Roman"/>
          <w:sz w:val="22"/>
          <w:lang w:val="en-US"/>
        </w:rPr>
        <w:t>ditolak karena prob&gt;α, sehingga dapat disimpulkan bahwa model tidak mengalami masalah autokorelasi.</w:t>
      </w:r>
    </w:p>
    <w:p w14:paraId="3D2A92A0" w14:textId="77777777" w:rsidR="00774B59" w:rsidRPr="00C5133C" w:rsidRDefault="00774B59" w:rsidP="00C5133C">
      <w:pPr>
        <w:spacing w:line="276" w:lineRule="auto"/>
        <w:rPr>
          <w:rFonts w:ascii="Cambria" w:hAnsi="Cambria" w:cs="Times New Roman"/>
          <w:sz w:val="22"/>
          <w:lang w:val="en-US"/>
        </w:rPr>
      </w:pPr>
    </w:p>
    <w:p w14:paraId="137E0BA7" w14:textId="6EB53BE7" w:rsidR="00C374C8" w:rsidRPr="00C5133C" w:rsidRDefault="00C374C8" w:rsidP="00774B59">
      <w:pPr>
        <w:pStyle w:val="Heading2"/>
        <w:spacing w:after="200" w:line="276" w:lineRule="auto"/>
        <w:rPr>
          <w:rFonts w:ascii="Cambria" w:hAnsi="Cambria"/>
          <w:sz w:val="22"/>
          <w:szCs w:val="22"/>
          <w:lang w:val="en-US"/>
        </w:rPr>
      </w:pPr>
      <w:bookmarkStart w:id="21" w:name="_Toc84232434"/>
      <w:r w:rsidRPr="00C5133C">
        <w:rPr>
          <w:rFonts w:ascii="Cambria" w:hAnsi="Cambria"/>
          <w:sz w:val="22"/>
          <w:szCs w:val="22"/>
          <w:lang w:val="en-US"/>
        </w:rPr>
        <w:t xml:space="preserve">Uji Regresi </w:t>
      </w:r>
      <w:r w:rsidRPr="00C5133C">
        <w:rPr>
          <w:rFonts w:ascii="Cambria" w:hAnsi="Cambria"/>
          <w:sz w:val="22"/>
          <w:szCs w:val="22"/>
        </w:rPr>
        <w:t>Data</w:t>
      </w:r>
      <w:r w:rsidRPr="00C5133C">
        <w:rPr>
          <w:rFonts w:ascii="Cambria" w:hAnsi="Cambria"/>
          <w:sz w:val="22"/>
          <w:szCs w:val="22"/>
          <w:lang w:val="en-US"/>
        </w:rPr>
        <w:t xml:space="preserve"> Panel</w:t>
      </w:r>
      <w:bookmarkEnd w:id="21"/>
    </w:p>
    <w:p w14:paraId="2344A8EF" w14:textId="01118C60" w:rsidR="00C374C8" w:rsidRPr="00774B59" w:rsidRDefault="00C374C8" w:rsidP="00C5133C">
      <w:pPr>
        <w:pStyle w:val="Heading5"/>
        <w:spacing w:line="276" w:lineRule="auto"/>
        <w:rPr>
          <w:rFonts w:ascii="Cambria" w:hAnsi="Cambria"/>
          <w:b/>
          <w:bCs/>
          <w:sz w:val="22"/>
          <w:lang w:val="en-US"/>
        </w:rPr>
      </w:pPr>
      <w:bookmarkStart w:id="22" w:name="_Toc84231600"/>
      <w:r w:rsidRPr="00774B59">
        <w:rPr>
          <w:rFonts w:ascii="Cambria" w:hAnsi="Cambria"/>
          <w:b/>
          <w:bCs/>
          <w:sz w:val="22"/>
          <w:lang w:val="en-US"/>
        </w:rPr>
        <w:t xml:space="preserve">Tabel </w:t>
      </w:r>
      <w:r w:rsidR="00770F6C" w:rsidRPr="00774B59">
        <w:rPr>
          <w:rFonts w:ascii="Cambria" w:hAnsi="Cambria"/>
          <w:b/>
          <w:bCs/>
          <w:sz w:val="22"/>
          <w:lang w:val="en-US"/>
        </w:rPr>
        <w:t>8</w:t>
      </w:r>
      <w:r w:rsidR="00774B59" w:rsidRPr="00774B59">
        <w:rPr>
          <w:rFonts w:ascii="Cambria" w:hAnsi="Cambria"/>
          <w:b/>
          <w:bCs/>
          <w:sz w:val="22"/>
          <w:lang w:val="en-US"/>
        </w:rPr>
        <w:t xml:space="preserve">. </w:t>
      </w:r>
      <w:r w:rsidRPr="00774B59">
        <w:rPr>
          <w:rFonts w:ascii="Cambria" w:hAnsi="Cambria"/>
          <w:b/>
          <w:bCs/>
          <w:sz w:val="22"/>
          <w:lang w:val="en-US"/>
        </w:rPr>
        <w:t xml:space="preserve">Analisis </w:t>
      </w:r>
      <w:r w:rsidR="00951810" w:rsidRPr="00774B59">
        <w:rPr>
          <w:rFonts w:ascii="Cambria" w:hAnsi="Cambria"/>
          <w:b/>
          <w:bCs/>
          <w:sz w:val="22"/>
          <w:lang w:val="en-US"/>
        </w:rPr>
        <w:t>K</w:t>
      </w:r>
      <w:r w:rsidRPr="00774B59">
        <w:rPr>
          <w:rFonts w:ascii="Cambria" w:hAnsi="Cambria"/>
          <w:b/>
          <w:bCs/>
          <w:sz w:val="22"/>
          <w:lang w:val="en-US"/>
        </w:rPr>
        <w:t xml:space="preserve">oefisien </w:t>
      </w:r>
      <w:r w:rsidR="00951810" w:rsidRPr="00774B59">
        <w:rPr>
          <w:rFonts w:ascii="Cambria" w:hAnsi="Cambria"/>
          <w:b/>
          <w:bCs/>
          <w:sz w:val="22"/>
          <w:lang w:val="en-US"/>
        </w:rPr>
        <w:t>D</w:t>
      </w:r>
      <w:r w:rsidRPr="00774B59">
        <w:rPr>
          <w:rFonts w:ascii="Cambria" w:hAnsi="Cambria"/>
          <w:b/>
          <w:bCs/>
          <w:sz w:val="22"/>
          <w:lang w:val="en-US"/>
        </w:rPr>
        <w:t>eterminasi</w:t>
      </w:r>
      <w:bookmarkEnd w:id="22"/>
    </w:p>
    <w:p w14:paraId="19FA070B" w14:textId="14BB2506" w:rsidR="00951810" w:rsidRPr="00C5133C" w:rsidRDefault="00951810" w:rsidP="00774B59">
      <w:pPr>
        <w:spacing w:line="276" w:lineRule="auto"/>
        <w:ind w:firstLine="0"/>
        <w:jc w:val="center"/>
        <w:rPr>
          <w:rFonts w:ascii="Cambria" w:hAnsi="Cambria"/>
          <w:sz w:val="22"/>
          <w:lang w:val="en-US"/>
        </w:rPr>
      </w:pPr>
      <w:r w:rsidRPr="00C5133C">
        <w:rPr>
          <w:rFonts w:ascii="Cambria" w:hAnsi="Cambria"/>
          <w:noProof/>
          <w:sz w:val="22"/>
          <w:lang w:val="en-US"/>
        </w:rPr>
        <w:drawing>
          <wp:inline distT="0" distB="0" distL="0" distR="0" wp14:anchorId="45D7C9B3" wp14:editId="0261A6A2">
            <wp:extent cx="5038725" cy="857250"/>
            <wp:effectExtent l="19050" t="19050" r="28575" b="19050"/>
            <wp:docPr id="34" name="Picture 34" descr="Text,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Text, table&#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38725" cy="857250"/>
                    </a:xfrm>
                    <a:prstGeom prst="rect">
                      <a:avLst/>
                    </a:prstGeom>
                    <a:noFill/>
                    <a:ln>
                      <a:solidFill>
                        <a:schemeClr val="tx1"/>
                      </a:solidFill>
                    </a:ln>
                  </pic:spPr>
                </pic:pic>
              </a:graphicData>
            </a:graphic>
          </wp:inline>
        </w:drawing>
      </w:r>
    </w:p>
    <w:p w14:paraId="1942E59E" w14:textId="5095F436" w:rsidR="00774B59" w:rsidRDefault="00774B59" w:rsidP="00774B59">
      <w:pPr>
        <w:spacing w:line="276" w:lineRule="auto"/>
        <w:ind w:firstLine="0"/>
        <w:jc w:val="center"/>
        <w:rPr>
          <w:rFonts w:ascii="Cambria" w:hAnsi="Cambria" w:cs="Times New Roman"/>
          <w:sz w:val="22"/>
          <w:lang w:val="en-US"/>
        </w:rPr>
      </w:pPr>
      <w:r w:rsidRPr="00C5133C">
        <w:rPr>
          <w:rFonts w:ascii="Cambria" w:hAnsi="Cambria" w:cs="Times New Roman"/>
          <w:sz w:val="22"/>
          <w:lang w:val="en-US"/>
        </w:rPr>
        <w:t xml:space="preserve">Sumber: </w:t>
      </w:r>
      <w:r>
        <w:rPr>
          <w:rFonts w:ascii="Cambria" w:hAnsi="Cambria" w:cs="Times New Roman"/>
          <w:sz w:val="22"/>
          <w:lang w:val="en-US"/>
        </w:rPr>
        <w:t>Olahan data peneliti dengan</w:t>
      </w:r>
      <w:r w:rsidRPr="00C5133C">
        <w:rPr>
          <w:rFonts w:ascii="Cambria" w:hAnsi="Cambria" w:cs="Times New Roman"/>
          <w:sz w:val="22"/>
          <w:lang w:val="en-US"/>
        </w:rPr>
        <w:t xml:space="preserve"> </w:t>
      </w:r>
      <w:r>
        <w:rPr>
          <w:rFonts w:ascii="Cambria" w:hAnsi="Cambria" w:cs="Times New Roman"/>
          <w:i/>
          <w:iCs/>
          <w:sz w:val="22"/>
          <w:lang w:val="en-US"/>
        </w:rPr>
        <w:t>E</w:t>
      </w:r>
      <w:r w:rsidRPr="00C5133C">
        <w:rPr>
          <w:rFonts w:ascii="Cambria" w:hAnsi="Cambria" w:cs="Times New Roman"/>
          <w:i/>
          <w:iCs/>
          <w:sz w:val="22"/>
          <w:lang w:val="en-US"/>
        </w:rPr>
        <w:t>views</w:t>
      </w:r>
      <w:r w:rsidRPr="00C5133C">
        <w:rPr>
          <w:rFonts w:ascii="Cambria" w:hAnsi="Cambria" w:cs="Times New Roman"/>
          <w:sz w:val="22"/>
          <w:lang w:val="en-US"/>
        </w:rPr>
        <w:t xml:space="preserve"> 9</w:t>
      </w:r>
      <w:r>
        <w:rPr>
          <w:rFonts w:ascii="Cambria" w:hAnsi="Cambria" w:cs="Times New Roman"/>
          <w:sz w:val="22"/>
          <w:lang w:val="en-US"/>
        </w:rPr>
        <w:t xml:space="preserve"> (2021)</w:t>
      </w:r>
    </w:p>
    <w:p w14:paraId="23C69D67" w14:textId="77777777" w:rsidR="00774B59" w:rsidRDefault="00774B59" w:rsidP="00774B59">
      <w:pPr>
        <w:spacing w:line="276" w:lineRule="auto"/>
        <w:ind w:firstLine="0"/>
        <w:jc w:val="center"/>
        <w:rPr>
          <w:rFonts w:ascii="Cambria" w:hAnsi="Cambria" w:cs="Times New Roman"/>
          <w:sz w:val="22"/>
          <w:lang w:val="en-US"/>
        </w:rPr>
      </w:pPr>
    </w:p>
    <w:p w14:paraId="6A53FFB8" w14:textId="631A91B4" w:rsidR="00C374C8" w:rsidRPr="00C5133C" w:rsidRDefault="00C374C8" w:rsidP="00C5133C">
      <w:pPr>
        <w:spacing w:line="276" w:lineRule="auto"/>
        <w:rPr>
          <w:rFonts w:ascii="Cambria" w:hAnsi="Cambria"/>
          <w:sz w:val="22"/>
          <w:lang w:val="en-US"/>
        </w:rPr>
      </w:pPr>
      <w:r w:rsidRPr="00C5133C">
        <w:rPr>
          <w:rFonts w:ascii="Cambria" w:hAnsi="Cambria"/>
          <w:sz w:val="22"/>
          <w:lang w:val="en-US"/>
        </w:rPr>
        <w:t xml:space="preserve">Koefisien determinasi merupakan tolok ukur seberapa besar partisipasi variabel </w:t>
      </w:r>
      <w:r w:rsidR="00774B59">
        <w:rPr>
          <w:rFonts w:ascii="Cambria" w:hAnsi="Cambria"/>
          <w:sz w:val="22"/>
          <w:lang w:val="en-US"/>
        </w:rPr>
        <w:t>i</w:t>
      </w:r>
      <w:r w:rsidR="00177C2A" w:rsidRPr="00C5133C">
        <w:rPr>
          <w:rFonts w:ascii="Cambria" w:hAnsi="Cambria"/>
          <w:sz w:val="22"/>
          <w:lang w:val="en-US"/>
        </w:rPr>
        <w:t>ndependen</w:t>
      </w:r>
      <w:r w:rsidRPr="00C5133C">
        <w:rPr>
          <w:rFonts w:ascii="Cambria" w:hAnsi="Cambria"/>
          <w:sz w:val="22"/>
          <w:lang w:val="en-US"/>
        </w:rPr>
        <w:t xml:space="preserve"> dalam mempengaruhi variabel dependen dalam penelitian. Acuan dalam menentukan koefisien determinasi adalah nilai </w:t>
      </w:r>
      <w:r w:rsidRPr="00C5133C">
        <w:rPr>
          <w:rFonts w:ascii="Cambria" w:hAnsi="Cambria"/>
          <w:i/>
          <w:sz w:val="22"/>
          <w:lang w:val="en-US"/>
        </w:rPr>
        <w:t xml:space="preserve">adjusted R-squared. </w:t>
      </w:r>
      <w:r w:rsidRPr="00C5133C">
        <w:rPr>
          <w:rFonts w:ascii="Cambria" w:hAnsi="Cambria"/>
          <w:sz w:val="22"/>
          <w:lang w:val="en-US"/>
        </w:rPr>
        <w:t xml:space="preserve">Nilai adjusted R-squared dipilih karena nilai ini mempertimbangkan korelasi antara variabel dependen dan variabel </w:t>
      </w:r>
      <w:r w:rsidR="00774B59">
        <w:rPr>
          <w:rFonts w:ascii="Cambria" w:hAnsi="Cambria"/>
          <w:sz w:val="22"/>
          <w:lang w:val="en-US"/>
        </w:rPr>
        <w:t>i</w:t>
      </w:r>
      <w:r w:rsidR="00177C2A" w:rsidRPr="00C5133C">
        <w:rPr>
          <w:rFonts w:ascii="Cambria" w:hAnsi="Cambria"/>
          <w:sz w:val="22"/>
          <w:lang w:val="en-US"/>
        </w:rPr>
        <w:t>ndependen</w:t>
      </w:r>
      <w:r w:rsidRPr="00C5133C">
        <w:rPr>
          <w:rFonts w:ascii="Cambria" w:hAnsi="Cambria"/>
          <w:sz w:val="22"/>
          <w:lang w:val="en-US"/>
        </w:rPr>
        <w:t xml:space="preserve">. Nilai koefisien determinasi memiliki rentang dari 0 sampai dengan 1. Semakin besar nilai koefisien determinasi menunjukkan kemampuan variabel </w:t>
      </w:r>
      <w:r w:rsidR="00774B59">
        <w:rPr>
          <w:rFonts w:ascii="Cambria" w:hAnsi="Cambria"/>
          <w:sz w:val="22"/>
          <w:lang w:val="en-US"/>
        </w:rPr>
        <w:t>i</w:t>
      </w:r>
      <w:r w:rsidR="00177C2A" w:rsidRPr="00C5133C">
        <w:rPr>
          <w:rFonts w:ascii="Cambria" w:hAnsi="Cambria"/>
          <w:sz w:val="22"/>
          <w:lang w:val="en-US"/>
        </w:rPr>
        <w:t>ndependen</w:t>
      </w:r>
      <w:r w:rsidRPr="00C5133C">
        <w:rPr>
          <w:rFonts w:ascii="Cambria" w:hAnsi="Cambria"/>
          <w:sz w:val="22"/>
          <w:lang w:val="en-US"/>
        </w:rPr>
        <w:t xml:space="preserve"> dalam memberikan informasi untuk memperkirakan variabel dependen yang semakin baik. Berdasarkan hasil pengolahan data yang dilakukan, diperoleh nilai koefisien determinasi (adjusted R-Squared) sebesar 0,721635. Nilai ini menjelaskan bahwa variabel dependen penghindaran pajak yang diwakili dengan proksi TAXAV dapat dijelaskan oleh variabel-variabel </w:t>
      </w:r>
      <w:r w:rsidR="00774B59">
        <w:rPr>
          <w:rFonts w:ascii="Cambria" w:hAnsi="Cambria"/>
          <w:sz w:val="22"/>
          <w:lang w:val="en-US"/>
        </w:rPr>
        <w:t>i</w:t>
      </w:r>
      <w:r w:rsidR="00177C2A" w:rsidRPr="00C5133C">
        <w:rPr>
          <w:rFonts w:ascii="Cambria" w:hAnsi="Cambria"/>
          <w:sz w:val="22"/>
          <w:lang w:val="en-US"/>
        </w:rPr>
        <w:t>ndependen</w:t>
      </w:r>
      <w:r w:rsidRPr="00C5133C">
        <w:rPr>
          <w:rFonts w:ascii="Cambria" w:hAnsi="Cambria"/>
          <w:sz w:val="22"/>
          <w:lang w:val="en-US"/>
        </w:rPr>
        <w:t xml:space="preserve"> yang dipilih 72,16%, sedangkan variabel lain diluar variabel tersebut hanya mampu mempengaruhi variabel penghindaran pajak sebesar 27,84%.</w:t>
      </w:r>
    </w:p>
    <w:p w14:paraId="39BE169E" w14:textId="3B1DA603" w:rsidR="00C374C8" w:rsidRPr="00774B59" w:rsidRDefault="00C374C8" w:rsidP="00C5133C">
      <w:pPr>
        <w:pStyle w:val="Heading5"/>
        <w:spacing w:line="276" w:lineRule="auto"/>
        <w:rPr>
          <w:rFonts w:ascii="Cambria" w:hAnsi="Cambria"/>
          <w:b/>
          <w:bCs/>
          <w:noProof/>
          <w:sz w:val="22"/>
          <w:lang w:val="en-US"/>
        </w:rPr>
      </w:pPr>
      <w:bookmarkStart w:id="23" w:name="_Toc84231601"/>
      <w:r w:rsidRPr="00774B59">
        <w:rPr>
          <w:rFonts w:ascii="Cambria" w:hAnsi="Cambria"/>
          <w:b/>
          <w:bCs/>
          <w:sz w:val="22"/>
          <w:lang w:val="en-US"/>
        </w:rPr>
        <w:t xml:space="preserve">Tabel </w:t>
      </w:r>
      <w:r w:rsidR="00770F6C" w:rsidRPr="00774B59">
        <w:rPr>
          <w:rFonts w:ascii="Cambria" w:hAnsi="Cambria"/>
          <w:b/>
          <w:bCs/>
          <w:sz w:val="22"/>
          <w:lang w:val="en-US"/>
        </w:rPr>
        <w:t>9</w:t>
      </w:r>
      <w:r w:rsidR="00774B59">
        <w:rPr>
          <w:rFonts w:ascii="Cambria" w:hAnsi="Cambria"/>
          <w:b/>
          <w:bCs/>
          <w:sz w:val="22"/>
          <w:lang w:val="en-US"/>
        </w:rPr>
        <w:t>.</w:t>
      </w:r>
      <w:r w:rsidRPr="00774B59">
        <w:rPr>
          <w:rFonts w:ascii="Cambria" w:hAnsi="Cambria"/>
          <w:b/>
          <w:bCs/>
          <w:sz w:val="22"/>
          <w:lang w:val="en-US"/>
        </w:rPr>
        <w:t xml:space="preserve"> Hasil </w:t>
      </w:r>
      <w:r w:rsidR="00951810" w:rsidRPr="00774B59">
        <w:rPr>
          <w:rFonts w:ascii="Cambria" w:hAnsi="Cambria"/>
          <w:b/>
          <w:bCs/>
          <w:sz w:val="22"/>
          <w:lang w:val="en-US"/>
        </w:rPr>
        <w:t>U</w:t>
      </w:r>
      <w:r w:rsidRPr="00774B59">
        <w:rPr>
          <w:rFonts w:ascii="Cambria" w:hAnsi="Cambria"/>
          <w:b/>
          <w:bCs/>
          <w:sz w:val="22"/>
          <w:lang w:val="en-US"/>
        </w:rPr>
        <w:t>ji-</w:t>
      </w:r>
      <w:bookmarkEnd w:id="23"/>
      <w:r w:rsidR="00774B59">
        <w:rPr>
          <w:rFonts w:ascii="Cambria" w:hAnsi="Cambria"/>
          <w:b/>
          <w:bCs/>
          <w:sz w:val="22"/>
          <w:lang w:val="en-US"/>
        </w:rPr>
        <w:t>F</w:t>
      </w:r>
    </w:p>
    <w:p w14:paraId="6CE2AE1F" w14:textId="255E94FA" w:rsidR="00951810" w:rsidRPr="00C5133C" w:rsidRDefault="00951810" w:rsidP="00774B59">
      <w:pPr>
        <w:spacing w:line="276" w:lineRule="auto"/>
        <w:ind w:firstLine="0"/>
        <w:jc w:val="center"/>
        <w:rPr>
          <w:rFonts w:ascii="Cambria" w:hAnsi="Cambria"/>
          <w:sz w:val="22"/>
          <w:lang w:val="en-US"/>
        </w:rPr>
      </w:pPr>
      <w:r w:rsidRPr="00C5133C">
        <w:rPr>
          <w:rFonts w:ascii="Cambria" w:hAnsi="Cambria"/>
          <w:noProof/>
          <w:sz w:val="22"/>
          <w:lang w:val="en-US"/>
        </w:rPr>
        <w:drawing>
          <wp:inline distT="0" distB="0" distL="0" distR="0" wp14:anchorId="399E742B" wp14:editId="0EDB62A7">
            <wp:extent cx="5038725" cy="1095375"/>
            <wp:effectExtent l="19050" t="19050" r="28575" b="28575"/>
            <wp:docPr id="33" name="Picture 3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Tabl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38725" cy="1095375"/>
                    </a:xfrm>
                    <a:prstGeom prst="rect">
                      <a:avLst/>
                    </a:prstGeom>
                    <a:noFill/>
                    <a:ln>
                      <a:solidFill>
                        <a:schemeClr val="tx1"/>
                      </a:solidFill>
                    </a:ln>
                  </pic:spPr>
                </pic:pic>
              </a:graphicData>
            </a:graphic>
          </wp:inline>
        </w:drawing>
      </w:r>
    </w:p>
    <w:p w14:paraId="7B76A1D2" w14:textId="77777777" w:rsidR="00774B59" w:rsidRDefault="00774B59" w:rsidP="00774B59">
      <w:pPr>
        <w:spacing w:line="276" w:lineRule="auto"/>
        <w:ind w:firstLine="0"/>
        <w:jc w:val="center"/>
        <w:rPr>
          <w:rFonts w:ascii="Cambria" w:hAnsi="Cambria" w:cs="Times New Roman"/>
          <w:sz w:val="22"/>
          <w:lang w:val="en-US"/>
        </w:rPr>
      </w:pPr>
      <w:r w:rsidRPr="00C5133C">
        <w:rPr>
          <w:rFonts w:ascii="Cambria" w:hAnsi="Cambria" w:cs="Times New Roman"/>
          <w:sz w:val="22"/>
          <w:lang w:val="en-US"/>
        </w:rPr>
        <w:t xml:space="preserve">Sumber: </w:t>
      </w:r>
      <w:r>
        <w:rPr>
          <w:rFonts w:ascii="Cambria" w:hAnsi="Cambria" w:cs="Times New Roman"/>
          <w:sz w:val="22"/>
          <w:lang w:val="en-US"/>
        </w:rPr>
        <w:t>Olahan data peneliti dengan</w:t>
      </w:r>
      <w:r w:rsidRPr="00C5133C">
        <w:rPr>
          <w:rFonts w:ascii="Cambria" w:hAnsi="Cambria" w:cs="Times New Roman"/>
          <w:sz w:val="22"/>
          <w:lang w:val="en-US"/>
        </w:rPr>
        <w:t xml:space="preserve"> </w:t>
      </w:r>
      <w:r>
        <w:rPr>
          <w:rFonts w:ascii="Cambria" w:hAnsi="Cambria" w:cs="Times New Roman"/>
          <w:i/>
          <w:iCs/>
          <w:sz w:val="22"/>
          <w:lang w:val="en-US"/>
        </w:rPr>
        <w:t>E</w:t>
      </w:r>
      <w:r w:rsidRPr="00C5133C">
        <w:rPr>
          <w:rFonts w:ascii="Cambria" w:hAnsi="Cambria" w:cs="Times New Roman"/>
          <w:i/>
          <w:iCs/>
          <w:sz w:val="22"/>
          <w:lang w:val="en-US"/>
        </w:rPr>
        <w:t>views</w:t>
      </w:r>
      <w:r w:rsidRPr="00C5133C">
        <w:rPr>
          <w:rFonts w:ascii="Cambria" w:hAnsi="Cambria" w:cs="Times New Roman"/>
          <w:sz w:val="22"/>
          <w:lang w:val="en-US"/>
        </w:rPr>
        <w:t xml:space="preserve"> 9</w:t>
      </w:r>
      <w:r>
        <w:rPr>
          <w:rFonts w:ascii="Cambria" w:hAnsi="Cambria" w:cs="Times New Roman"/>
          <w:sz w:val="22"/>
          <w:lang w:val="en-US"/>
        </w:rPr>
        <w:t xml:space="preserve"> (2021)</w:t>
      </w:r>
    </w:p>
    <w:p w14:paraId="77DFBDFA" w14:textId="78512911" w:rsidR="00C374C8" w:rsidRPr="00C5133C" w:rsidRDefault="00C374C8" w:rsidP="00C5133C">
      <w:pPr>
        <w:spacing w:line="276" w:lineRule="auto"/>
        <w:rPr>
          <w:rFonts w:ascii="Cambria" w:hAnsi="Cambria"/>
          <w:sz w:val="22"/>
          <w:lang w:val="en-US"/>
        </w:rPr>
      </w:pPr>
      <w:r w:rsidRPr="00C5133C">
        <w:rPr>
          <w:rFonts w:ascii="Cambria" w:hAnsi="Cambria"/>
          <w:sz w:val="22"/>
          <w:lang w:val="en-US"/>
        </w:rPr>
        <w:t>Uji-</w:t>
      </w:r>
      <w:r w:rsidR="00774B59">
        <w:rPr>
          <w:rFonts w:ascii="Cambria" w:hAnsi="Cambria"/>
          <w:sz w:val="22"/>
          <w:lang w:val="en-US"/>
        </w:rPr>
        <w:t>F</w:t>
      </w:r>
      <w:r w:rsidRPr="00C5133C">
        <w:rPr>
          <w:rFonts w:ascii="Cambria" w:hAnsi="Cambria"/>
          <w:sz w:val="22"/>
          <w:lang w:val="en-US"/>
        </w:rPr>
        <w:t xml:space="preserve"> dilakukan untuk mengetahui pengaruh secara simultan variabel-variabel </w:t>
      </w:r>
      <w:r w:rsidR="00774B59">
        <w:rPr>
          <w:rFonts w:ascii="Cambria" w:hAnsi="Cambria"/>
          <w:sz w:val="22"/>
          <w:lang w:val="en-US"/>
        </w:rPr>
        <w:t>i</w:t>
      </w:r>
      <w:r w:rsidR="00177C2A" w:rsidRPr="00C5133C">
        <w:rPr>
          <w:rFonts w:ascii="Cambria" w:hAnsi="Cambria"/>
          <w:sz w:val="22"/>
          <w:lang w:val="en-US"/>
        </w:rPr>
        <w:t>ndependen</w:t>
      </w:r>
      <w:r w:rsidRPr="00C5133C">
        <w:rPr>
          <w:rFonts w:ascii="Cambria" w:hAnsi="Cambria"/>
          <w:sz w:val="22"/>
          <w:lang w:val="en-US"/>
        </w:rPr>
        <w:t xml:space="preserve"> yang dipilih terhadap variabel dependen. Salah satu kriteria model regresi yang baik </w:t>
      </w:r>
      <w:r w:rsidRPr="00C5133C">
        <w:rPr>
          <w:rFonts w:ascii="Cambria" w:hAnsi="Cambria"/>
          <w:sz w:val="22"/>
          <w:lang w:val="en-US"/>
        </w:rPr>
        <w:lastRenderedPageBreak/>
        <w:t>adalah apabila variabel-variabel</w:t>
      </w:r>
      <w:r w:rsidR="00774B59">
        <w:rPr>
          <w:rFonts w:ascii="Cambria" w:hAnsi="Cambria"/>
          <w:sz w:val="22"/>
          <w:lang w:val="en-US"/>
        </w:rPr>
        <w:t xml:space="preserve"> i</w:t>
      </w:r>
      <w:r w:rsidR="00177C2A" w:rsidRPr="00C5133C">
        <w:rPr>
          <w:rFonts w:ascii="Cambria" w:hAnsi="Cambria"/>
          <w:sz w:val="22"/>
          <w:lang w:val="en-US"/>
        </w:rPr>
        <w:t>ndependen</w:t>
      </w:r>
      <w:r w:rsidRPr="00C5133C">
        <w:rPr>
          <w:rFonts w:ascii="Cambria" w:hAnsi="Cambria"/>
          <w:sz w:val="22"/>
          <w:lang w:val="en-US"/>
        </w:rPr>
        <w:t xml:space="preserve"> yang dipilih memiliki pengaruh secara simultan terhadap variabel dependen yang diteliti. Uji-</w:t>
      </w:r>
      <w:r w:rsidR="00774B59">
        <w:rPr>
          <w:rFonts w:ascii="Cambria" w:hAnsi="Cambria"/>
          <w:sz w:val="22"/>
          <w:lang w:val="en-US"/>
        </w:rPr>
        <w:t>F</w:t>
      </w:r>
      <w:r w:rsidRPr="00C5133C">
        <w:rPr>
          <w:rFonts w:ascii="Cambria" w:hAnsi="Cambria"/>
          <w:sz w:val="22"/>
          <w:lang w:val="en-US"/>
        </w:rPr>
        <w:t xml:space="preserve"> dilakukan dengan memperbandingkan nilai probabilitas </w:t>
      </w:r>
      <w:r w:rsidRPr="00774B59">
        <w:rPr>
          <w:rFonts w:ascii="Cambria" w:hAnsi="Cambria"/>
          <w:i/>
          <w:iCs/>
          <w:sz w:val="22"/>
          <w:lang w:val="en-US"/>
        </w:rPr>
        <w:t xml:space="preserve">F-statistics </w:t>
      </w:r>
      <w:r w:rsidRPr="00C5133C">
        <w:rPr>
          <w:rFonts w:ascii="Cambria" w:hAnsi="Cambria"/>
          <w:sz w:val="22"/>
          <w:lang w:val="en-US"/>
        </w:rPr>
        <w:t>dengan tingkat signifikansi (</w:t>
      </w:r>
      <w:r w:rsidRPr="00C5133C">
        <w:rPr>
          <w:rFonts w:ascii="Cambria" w:hAnsi="Cambria" w:cs="Times New Roman"/>
          <w:sz w:val="22"/>
          <w:lang w:val="en-US"/>
        </w:rPr>
        <w:t>α</w:t>
      </w:r>
      <w:r w:rsidRPr="00C5133C">
        <w:rPr>
          <w:rFonts w:ascii="Cambria" w:hAnsi="Cambria"/>
          <w:sz w:val="22"/>
          <w:lang w:val="en-US"/>
        </w:rPr>
        <w:t>). Uji-</w:t>
      </w:r>
      <w:r w:rsidR="00774B59">
        <w:rPr>
          <w:rFonts w:ascii="Cambria" w:hAnsi="Cambria"/>
          <w:sz w:val="22"/>
          <w:lang w:val="en-US"/>
        </w:rPr>
        <w:t>F</w:t>
      </w:r>
      <w:r w:rsidRPr="00C5133C">
        <w:rPr>
          <w:rFonts w:ascii="Cambria" w:hAnsi="Cambria"/>
          <w:sz w:val="22"/>
          <w:lang w:val="en-US"/>
        </w:rPr>
        <w:t xml:space="preserve"> menggunakan hipotesis sebagai berikut: </w:t>
      </w:r>
    </w:p>
    <w:p w14:paraId="5D882857" w14:textId="433F1911" w:rsidR="00C374C8" w:rsidRPr="00C5133C" w:rsidRDefault="00C374C8" w:rsidP="00774B59">
      <w:pPr>
        <w:tabs>
          <w:tab w:val="left" w:pos="567"/>
          <w:tab w:val="left" w:pos="1134"/>
        </w:tabs>
        <w:spacing w:line="276" w:lineRule="auto"/>
        <w:ind w:left="1418" w:hanging="1417"/>
        <w:rPr>
          <w:rFonts w:ascii="Cambria" w:hAnsi="Cambria"/>
          <w:sz w:val="22"/>
          <w:lang w:val="id-ID"/>
        </w:rPr>
      </w:pPr>
      <w:r w:rsidRPr="00C5133C">
        <w:rPr>
          <w:rFonts w:ascii="Cambria" w:hAnsi="Cambria"/>
          <w:sz w:val="22"/>
        </w:rPr>
        <w:tab/>
        <w:t>H</w:t>
      </w:r>
      <w:r w:rsidRPr="00C5133C">
        <w:rPr>
          <w:rFonts w:ascii="Cambria" w:hAnsi="Cambria"/>
          <w:sz w:val="22"/>
          <w:vertAlign w:val="subscript"/>
        </w:rPr>
        <w:t>0</w:t>
      </w:r>
      <w:r w:rsidRPr="00C5133C">
        <w:rPr>
          <w:rFonts w:ascii="Cambria" w:hAnsi="Cambria"/>
          <w:sz w:val="22"/>
        </w:rPr>
        <w:tab/>
        <w:t>= seluruh variabel</w:t>
      </w:r>
      <w:r w:rsidR="00774B59">
        <w:rPr>
          <w:rFonts w:ascii="Cambria" w:hAnsi="Cambria"/>
          <w:sz w:val="22"/>
        </w:rPr>
        <w:t xml:space="preserve"> i</w:t>
      </w:r>
      <w:r w:rsidR="00177C2A" w:rsidRPr="00C5133C">
        <w:rPr>
          <w:rFonts w:ascii="Cambria" w:hAnsi="Cambria"/>
          <w:sz w:val="22"/>
        </w:rPr>
        <w:t>ndependen</w:t>
      </w:r>
      <w:r w:rsidRPr="00C5133C">
        <w:rPr>
          <w:rFonts w:ascii="Cambria" w:hAnsi="Cambria"/>
          <w:sz w:val="22"/>
        </w:rPr>
        <w:t xml:space="preserve"> dalam penelitian secara </w:t>
      </w:r>
      <w:r w:rsidR="00774B59">
        <w:rPr>
          <w:rFonts w:ascii="Cambria" w:hAnsi="Cambria"/>
          <w:sz w:val="22"/>
        </w:rPr>
        <w:t>bersama</w:t>
      </w:r>
      <w:r w:rsidRPr="00C5133C">
        <w:rPr>
          <w:rFonts w:ascii="Cambria" w:hAnsi="Cambria"/>
          <w:sz w:val="22"/>
        </w:rPr>
        <w:t>-sama tidak berpengaruh terhadap variabel dependen</w:t>
      </w:r>
    </w:p>
    <w:p w14:paraId="4B8069A5" w14:textId="3F567652" w:rsidR="00C374C8" w:rsidRPr="00C5133C" w:rsidRDefault="00C374C8" w:rsidP="00774B59">
      <w:pPr>
        <w:tabs>
          <w:tab w:val="left" w:pos="567"/>
          <w:tab w:val="left" w:pos="1134"/>
        </w:tabs>
        <w:spacing w:line="276" w:lineRule="auto"/>
        <w:ind w:left="1418" w:hanging="1417"/>
        <w:rPr>
          <w:rFonts w:ascii="Cambria" w:hAnsi="Cambria"/>
          <w:sz w:val="22"/>
        </w:rPr>
      </w:pPr>
      <w:r w:rsidRPr="00C5133C">
        <w:rPr>
          <w:rFonts w:ascii="Cambria" w:hAnsi="Cambria"/>
          <w:sz w:val="22"/>
        </w:rPr>
        <w:tab/>
        <w:t>H</w:t>
      </w:r>
      <w:r w:rsidRPr="00C5133C">
        <w:rPr>
          <w:rFonts w:ascii="Cambria" w:hAnsi="Cambria"/>
          <w:sz w:val="22"/>
          <w:vertAlign w:val="subscript"/>
        </w:rPr>
        <w:t>1</w:t>
      </w:r>
      <w:r w:rsidRPr="00C5133C">
        <w:rPr>
          <w:rFonts w:ascii="Cambria" w:hAnsi="Cambria"/>
          <w:sz w:val="22"/>
        </w:rPr>
        <w:tab/>
        <w:t>=</w:t>
      </w:r>
      <w:r w:rsidR="00774B59">
        <w:rPr>
          <w:rFonts w:ascii="Cambria" w:hAnsi="Cambria"/>
          <w:sz w:val="22"/>
        </w:rPr>
        <w:t xml:space="preserve">   </w:t>
      </w:r>
      <w:r w:rsidRPr="00C5133C">
        <w:rPr>
          <w:rFonts w:ascii="Cambria" w:hAnsi="Cambria"/>
          <w:sz w:val="22"/>
        </w:rPr>
        <w:t xml:space="preserve">seluruh variabel </w:t>
      </w:r>
      <w:r w:rsidR="00774B59">
        <w:rPr>
          <w:rFonts w:ascii="Cambria" w:hAnsi="Cambria"/>
          <w:sz w:val="22"/>
        </w:rPr>
        <w:t>i</w:t>
      </w:r>
      <w:r w:rsidR="00177C2A" w:rsidRPr="00C5133C">
        <w:rPr>
          <w:rFonts w:ascii="Cambria" w:hAnsi="Cambria"/>
          <w:sz w:val="22"/>
        </w:rPr>
        <w:t>ndependen</w:t>
      </w:r>
      <w:r w:rsidRPr="00C5133C">
        <w:rPr>
          <w:rFonts w:ascii="Cambria" w:hAnsi="Cambria"/>
          <w:sz w:val="22"/>
        </w:rPr>
        <w:t xml:space="preserve"> dalam penelitian secara </w:t>
      </w:r>
      <w:r w:rsidR="00774B59">
        <w:rPr>
          <w:rFonts w:ascii="Cambria" w:hAnsi="Cambria"/>
          <w:sz w:val="22"/>
        </w:rPr>
        <w:t>bersama</w:t>
      </w:r>
      <w:r w:rsidRPr="00C5133C">
        <w:rPr>
          <w:rFonts w:ascii="Cambria" w:hAnsi="Cambria"/>
          <w:sz w:val="22"/>
        </w:rPr>
        <w:t>-sama berpengaruh terhadap variabel dependen</w:t>
      </w:r>
    </w:p>
    <w:p w14:paraId="1861C931" w14:textId="6627630F" w:rsidR="00C374C8" w:rsidRPr="00C5133C" w:rsidRDefault="00C374C8" w:rsidP="00C5133C">
      <w:pPr>
        <w:spacing w:line="276" w:lineRule="auto"/>
        <w:rPr>
          <w:rFonts w:ascii="Cambria" w:hAnsi="Cambria"/>
          <w:sz w:val="22"/>
          <w:lang w:val="en-US"/>
        </w:rPr>
      </w:pPr>
      <w:r w:rsidRPr="00C5133C">
        <w:rPr>
          <w:rFonts w:ascii="Cambria" w:hAnsi="Cambria"/>
          <w:sz w:val="22"/>
        </w:rPr>
        <w:t xml:space="preserve">Berdasarkan hasil pengolahan data, didapatkan bahwa nilai probabilitas </w:t>
      </w:r>
      <w:r w:rsidRPr="00774B59">
        <w:rPr>
          <w:rFonts w:ascii="Cambria" w:hAnsi="Cambria"/>
          <w:i/>
          <w:iCs/>
          <w:sz w:val="22"/>
        </w:rPr>
        <w:t>F-statistic</w:t>
      </w:r>
      <w:r w:rsidRPr="00C5133C">
        <w:rPr>
          <w:rFonts w:ascii="Cambria" w:hAnsi="Cambria"/>
          <w:sz w:val="22"/>
        </w:rPr>
        <w:t xml:space="preserve"> adalah</w:t>
      </w:r>
      <w:r w:rsidRPr="00C5133C">
        <w:rPr>
          <w:rFonts w:ascii="Cambria" w:hAnsi="Cambria"/>
          <w:sz w:val="22"/>
          <w:lang w:val="en-US"/>
        </w:rPr>
        <w:t xml:space="preserve"> 0.000000. Nilai probabilitas </w:t>
      </w:r>
      <w:r w:rsidRPr="00C5133C">
        <w:rPr>
          <w:rFonts w:ascii="Cambria" w:hAnsi="Cambria"/>
          <w:i/>
          <w:iCs/>
          <w:sz w:val="22"/>
          <w:lang w:val="en-US"/>
        </w:rPr>
        <w:t>F-St</w:t>
      </w:r>
      <w:r w:rsidR="00172514" w:rsidRPr="00C5133C">
        <w:rPr>
          <w:rFonts w:ascii="Cambria" w:hAnsi="Cambria"/>
          <w:i/>
          <w:iCs/>
          <w:sz w:val="22"/>
          <w:lang w:val="en-US"/>
        </w:rPr>
        <w:t>a</w:t>
      </w:r>
      <w:r w:rsidRPr="00C5133C">
        <w:rPr>
          <w:rFonts w:ascii="Cambria" w:hAnsi="Cambria"/>
          <w:i/>
          <w:iCs/>
          <w:sz w:val="22"/>
          <w:lang w:val="en-US"/>
        </w:rPr>
        <w:t>tistic</w:t>
      </w:r>
      <w:r w:rsidRPr="00C5133C">
        <w:rPr>
          <w:rFonts w:ascii="Cambria" w:hAnsi="Cambria"/>
          <w:sz w:val="22"/>
          <w:lang w:val="en-US"/>
        </w:rPr>
        <w:t xml:space="preserve"> yang lebih rendah dari tingkat signifikansi menyebabkan H</w:t>
      </w:r>
      <w:r w:rsidRPr="00774B59">
        <w:rPr>
          <w:rFonts w:ascii="Cambria" w:hAnsi="Cambria"/>
          <w:sz w:val="22"/>
          <w:vertAlign w:val="subscript"/>
          <w:lang w:val="en-US"/>
        </w:rPr>
        <w:t>0</w:t>
      </w:r>
      <w:r w:rsidRPr="00C5133C">
        <w:rPr>
          <w:rFonts w:ascii="Cambria" w:hAnsi="Cambria"/>
          <w:sz w:val="22"/>
          <w:lang w:val="en-US"/>
        </w:rPr>
        <w:t xml:space="preserve"> ditolak dan H</w:t>
      </w:r>
      <w:r w:rsidRPr="00774B59">
        <w:rPr>
          <w:rFonts w:ascii="Cambria" w:hAnsi="Cambria"/>
          <w:sz w:val="22"/>
          <w:vertAlign w:val="subscript"/>
          <w:lang w:val="en-US"/>
        </w:rPr>
        <w:t>1</w:t>
      </w:r>
      <w:r w:rsidRPr="00C5133C">
        <w:rPr>
          <w:rFonts w:ascii="Cambria" w:hAnsi="Cambria"/>
          <w:sz w:val="22"/>
          <w:lang w:val="en-US"/>
        </w:rPr>
        <w:t xml:space="preserve"> diterima, dengan demikian dapat disimpulkan bahwa seluruh variabel </w:t>
      </w:r>
      <w:r w:rsidR="00774B59">
        <w:rPr>
          <w:rFonts w:ascii="Cambria" w:hAnsi="Cambria"/>
          <w:sz w:val="22"/>
          <w:lang w:val="en-US"/>
        </w:rPr>
        <w:t>i</w:t>
      </w:r>
      <w:r w:rsidR="00177C2A" w:rsidRPr="00C5133C">
        <w:rPr>
          <w:rFonts w:ascii="Cambria" w:hAnsi="Cambria"/>
          <w:sz w:val="22"/>
          <w:lang w:val="en-US"/>
        </w:rPr>
        <w:t>ndependen</w:t>
      </w:r>
      <w:r w:rsidRPr="00C5133C">
        <w:rPr>
          <w:rFonts w:ascii="Cambria" w:hAnsi="Cambria"/>
          <w:sz w:val="22"/>
          <w:lang w:val="en-US"/>
        </w:rPr>
        <w:t xml:space="preserve"> dalam penelitian memiliki pengaruh secara simultan terhadap variabel dependen yang diteliti.</w:t>
      </w:r>
    </w:p>
    <w:p w14:paraId="3B6EDFF6" w14:textId="101014B6" w:rsidR="00C374C8" w:rsidRPr="00431E98" w:rsidRDefault="00C374C8" w:rsidP="00C5133C">
      <w:pPr>
        <w:pStyle w:val="Heading5"/>
        <w:spacing w:line="276" w:lineRule="auto"/>
        <w:rPr>
          <w:rFonts w:ascii="Cambria" w:hAnsi="Cambria"/>
          <w:b/>
          <w:bCs/>
          <w:noProof/>
          <w:sz w:val="22"/>
          <w:lang w:val="en-US"/>
        </w:rPr>
      </w:pPr>
      <w:bookmarkStart w:id="24" w:name="_Toc84231602"/>
      <w:r w:rsidRPr="00431E98">
        <w:rPr>
          <w:rFonts w:ascii="Cambria" w:hAnsi="Cambria"/>
          <w:b/>
          <w:bCs/>
          <w:sz w:val="22"/>
          <w:lang w:val="en-US"/>
        </w:rPr>
        <w:t xml:space="preserve">Tabel </w:t>
      </w:r>
      <w:r w:rsidR="00770F6C" w:rsidRPr="00431E98">
        <w:rPr>
          <w:rFonts w:ascii="Cambria" w:hAnsi="Cambria"/>
          <w:b/>
          <w:bCs/>
          <w:sz w:val="22"/>
          <w:lang w:val="en-US"/>
        </w:rPr>
        <w:t>10</w:t>
      </w:r>
      <w:r w:rsidR="00431E98">
        <w:rPr>
          <w:rFonts w:ascii="Cambria" w:hAnsi="Cambria"/>
          <w:b/>
          <w:bCs/>
          <w:sz w:val="22"/>
          <w:lang w:val="en-US"/>
        </w:rPr>
        <w:t>.</w:t>
      </w:r>
      <w:r w:rsidRPr="00431E98">
        <w:rPr>
          <w:rFonts w:ascii="Cambria" w:hAnsi="Cambria"/>
          <w:b/>
          <w:bCs/>
          <w:sz w:val="22"/>
          <w:lang w:val="en-US"/>
        </w:rPr>
        <w:t xml:space="preserve"> Hasil Uji-t</w:t>
      </w:r>
      <w:bookmarkEnd w:id="24"/>
    </w:p>
    <w:p w14:paraId="338C404E" w14:textId="45EFD9FF" w:rsidR="00951810" w:rsidRPr="00C5133C" w:rsidRDefault="00951810" w:rsidP="00431E98">
      <w:pPr>
        <w:spacing w:line="276" w:lineRule="auto"/>
        <w:ind w:firstLine="0"/>
        <w:jc w:val="center"/>
        <w:rPr>
          <w:rFonts w:ascii="Cambria" w:hAnsi="Cambria"/>
          <w:sz w:val="22"/>
          <w:lang w:val="en-US"/>
        </w:rPr>
      </w:pPr>
      <w:r w:rsidRPr="00C5133C">
        <w:rPr>
          <w:rFonts w:ascii="Cambria" w:hAnsi="Cambria"/>
          <w:noProof/>
          <w:sz w:val="22"/>
          <w:lang w:val="en-US"/>
        </w:rPr>
        <w:drawing>
          <wp:inline distT="0" distB="0" distL="0" distR="0" wp14:anchorId="585FB9FB" wp14:editId="6B6EB2FD">
            <wp:extent cx="5038725" cy="2638425"/>
            <wp:effectExtent l="19050" t="19050" r="28575" b="28575"/>
            <wp:docPr id="32" name="Picture 3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Tabl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38725" cy="2638425"/>
                    </a:xfrm>
                    <a:prstGeom prst="rect">
                      <a:avLst/>
                    </a:prstGeom>
                    <a:noFill/>
                    <a:ln>
                      <a:solidFill>
                        <a:schemeClr val="tx1"/>
                      </a:solidFill>
                    </a:ln>
                  </pic:spPr>
                </pic:pic>
              </a:graphicData>
            </a:graphic>
          </wp:inline>
        </w:drawing>
      </w:r>
    </w:p>
    <w:p w14:paraId="53F750EC" w14:textId="2D79F9F2" w:rsidR="00431E98" w:rsidRDefault="00431E98" w:rsidP="00431E98">
      <w:pPr>
        <w:spacing w:line="276" w:lineRule="auto"/>
        <w:ind w:firstLine="0"/>
        <w:jc w:val="center"/>
        <w:rPr>
          <w:rFonts w:ascii="Cambria" w:hAnsi="Cambria" w:cs="Times New Roman"/>
          <w:sz w:val="22"/>
          <w:lang w:val="en-US"/>
        </w:rPr>
      </w:pPr>
      <w:r w:rsidRPr="00C5133C">
        <w:rPr>
          <w:rFonts w:ascii="Cambria" w:hAnsi="Cambria" w:cs="Times New Roman"/>
          <w:sz w:val="22"/>
          <w:lang w:val="en-US"/>
        </w:rPr>
        <w:t xml:space="preserve">Sumber: </w:t>
      </w:r>
      <w:r>
        <w:rPr>
          <w:rFonts w:ascii="Cambria" w:hAnsi="Cambria" w:cs="Times New Roman"/>
          <w:sz w:val="22"/>
          <w:lang w:val="en-US"/>
        </w:rPr>
        <w:t>Olahan data peneliti dengan</w:t>
      </w:r>
      <w:r w:rsidRPr="00C5133C">
        <w:rPr>
          <w:rFonts w:ascii="Cambria" w:hAnsi="Cambria" w:cs="Times New Roman"/>
          <w:sz w:val="22"/>
          <w:lang w:val="en-US"/>
        </w:rPr>
        <w:t xml:space="preserve"> </w:t>
      </w:r>
      <w:r>
        <w:rPr>
          <w:rFonts w:ascii="Cambria" w:hAnsi="Cambria" w:cs="Times New Roman"/>
          <w:i/>
          <w:iCs/>
          <w:sz w:val="22"/>
          <w:lang w:val="en-US"/>
        </w:rPr>
        <w:t>E</w:t>
      </w:r>
      <w:r w:rsidRPr="00C5133C">
        <w:rPr>
          <w:rFonts w:ascii="Cambria" w:hAnsi="Cambria" w:cs="Times New Roman"/>
          <w:i/>
          <w:iCs/>
          <w:sz w:val="22"/>
          <w:lang w:val="en-US"/>
        </w:rPr>
        <w:t>views</w:t>
      </w:r>
      <w:r w:rsidRPr="00C5133C">
        <w:rPr>
          <w:rFonts w:ascii="Cambria" w:hAnsi="Cambria" w:cs="Times New Roman"/>
          <w:sz w:val="22"/>
          <w:lang w:val="en-US"/>
        </w:rPr>
        <w:t xml:space="preserve"> 9</w:t>
      </w:r>
      <w:r>
        <w:rPr>
          <w:rFonts w:ascii="Cambria" w:hAnsi="Cambria" w:cs="Times New Roman"/>
          <w:sz w:val="22"/>
          <w:lang w:val="en-US"/>
        </w:rPr>
        <w:t xml:space="preserve"> (2021)</w:t>
      </w:r>
    </w:p>
    <w:p w14:paraId="3B767E99" w14:textId="77777777" w:rsidR="00431E98" w:rsidRDefault="00431E98" w:rsidP="00431E98">
      <w:pPr>
        <w:spacing w:line="276" w:lineRule="auto"/>
        <w:ind w:firstLine="0"/>
        <w:jc w:val="center"/>
        <w:rPr>
          <w:rFonts w:ascii="Cambria" w:hAnsi="Cambria" w:cs="Times New Roman"/>
          <w:sz w:val="22"/>
          <w:lang w:val="en-US"/>
        </w:rPr>
      </w:pPr>
    </w:p>
    <w:p w14:paraId="420CDFCA" w14:textId="314AE880" w:rsidR="00C374C8" w:rsidRPr="00C5133C" w:rsidRDefault="00C374C8" w:rsidP="00C5133C">
      <w:pPr>
        <w:spacing w:line="276" w:lineRule="auto"/>
        <w:rPr>
          <w:rFonts w:ascii="Cambria" w:hAnsi="Cambria"/>
          <w:sz w:val="22"/>
          <w:lang w:val="en-US"/>
        </w:rPr>
      </w:pPr>
      <w:r w:rsidRPr="00C5133C">
        <w:rPr>
          <w:rFonts w:ascii="Cambria" w:hAnsi="Cambria"/>
          <w:sz w:val="22"/>
          <w:lang w:val="en-US"/>
        </w:rPr>
        <w:t xml:space="preserve">Uji-t dilakukan untuk memahami pengaruh secara parsial dari masing-masing variabel </w:t>
      </w:r>
      <w:r w:rsidR="00431E98">
        <w:rPr>
          <w:rFonts w:ascii="Cambria" w:hAnsi="Cambria"/>
          <w:sz w:val="22"/>
          <w:lang w:val="en-US"/>
        </w:rPr>
        <w:t>i</w:t>
      </w:r>
      <w:r w:rsidR="00177C2A" w:rsidRPr="00C5133C">
        <w:rPr>
          <w:rFonts w:ascii="Cambria" w:hAnsi="Cambria"/>
          <w:sz w:val="22"/>
          <w:lang w:val="en-US"/>
        </w:rPr>
        <w:t>ndependen</w:t>
      </w:r>
      <w:r w:rsidRPr="00C5133C">
        <w:rPr>
          <w:rFonts w:ascii="Cambria" w:hAnsi="Cambria"/>
          <w:sz w:val="22"/>
          <w:lang w:val="en-US"/>
        </w:rPr>
        <w:t xml:space="preserve"> terhadap variabel dependen yang diteliti. Uji-t dilakukan d</w:t>
      </w:r>
      <w:r w:rsidR="00431E98">
        <w:rPr>
          <w:rFonts w:ascii="Cambria" w:hAnsi="Cambria"/>
          <w:sz w:val="22"/>
          <w:lang w:val="en-US"/>
        </w:rPr>
        <w:t>e</w:t>
      </w:r>
      <w:r w:rsidRPr="00C5133C">
        <w:rPr>
          <w:rFonts w:ascii="Cambria" w:hAnsi="Cambria"/>
          <w:sz w:val="22"/>
          <w:lang w:val="en-US"/>
        </w:rPr>
        <w:t xml:space="preserve">ngan memperbandingkan nilai probabilitas p-value masing-masing variabel </w:t>
      </w:r>
      <w:r w:rsidR="00431E98">
        <w:rPr>
          <w:rFonts w:ascii="Cambria" w:hAnsi="Cambria"/>
          <w:sz w:val="22"/>
          <w:lang w:val="en-US"/>
        </w:rPr>
        <w:t>i</w:t>
      </w:r>
      <w:r w:rsidR="00177C2A" w:rsidRPr="00C5133C">
        <w:rPr>
          <w:rFonts w:ascii="Cambria" w:hAnsi="Cambria"/>
          <w:sz w:val="22"/>
          <w:lang w:val="en-US"/>
        </w:rPr>
        <w:t>ndependen</w:t>
      </w:r>
      <w:r w:rsidR="00431E98">
        <w:rPr>
          <w:rFonts w:ascii="Cambria" w:hAnsi="Cambria"/>
          <w:sz w:val="22"/>
          <w:lang w:val="en-US"/>
        </w:rPr>
        <w:t xml:space="preserve"> </w:t>
      </w:r>
      <w:r w:rsidRPr="00C5133C">
        <w:rPr>
          <w:rFonts w:ascii="Cambria" w:hAnsi="Cambria"/>
          <w:sz w:val="22"/>
          <w:lang w:val="en-US"/>
        </w:rPr>
        <w:t xml:space="preserve">dengan tingkat signifikansi </w:t>
      </w:r>
      <w:r w:rsidRPr="00C5133C">
        <w:rPr>
          <w:rFonts w:ascii="Cambria" w:hAnsi="Cambria" w:cs="Times New Roman"/>
          <w:sz w:val="22"/>
          <w:lang w:val="en-US"/>
        </w:rPr>
        <w:t>α</w:t>
      </w:r>
      <w:r w:rsidRPr="00C5133C">
        <w:rPr>
          <w:rFonts w:ascii="Cambria" w:hAnsi="Cambria"/>
          <w:sz w:val="22"/>
          <w:lang w:val="en-US"/>
        </w:rPr>
        <w:t>. Uji-t menggunakan hipotesis sebagai berikut:</w:t>
      </w:r>
    </w:p>
    <w:p w14:paraId="02F222AD" w14:textId="12240EDE" w:rsidR="00C374C8" w:rsidRPr="00C5133C" w:rsidRDefault="00C374C8" w:rsidP="00C5133C">
      <w:pPr>
        <w:tabs>
          <w:tab w:val="left" w:pos="567"/>
        </w:tabs>
        <w:spacing w:line="276" w:lineRule="auto"/>
        <w:ind w:left="851" w:hanging="850"/>
        <w:rPr>
          <w:rFonts w:ascii="Cambria" w:hAnsi="Cambria"/>
          <w:sz w:val="22"/>
          <w:lang w:val="id-ID"/>
        </w:rPr>
      </w:pPr>
      <w:r w:rsidRPr="00C5133C">
        <w:rPr>
          <w:rFonts w:ascii="Cambria" w:hAnsi="Cambria"/>
          <w:sz w:val="22"/>
        </w:rPr>
        <w:t>H</w:t>
      </w:r>
      <w:r w:rsidRPr="00C5133C">
        <w:rPr>
          <w:rFonts w:ascii="Cambria" w:hAnsi="Cambria"/>
          <w:sz w:val="22"/>
          <w:vertAlign w:val="subscript"/>
        </w:rPr>
        <w:t>0</w:t>
      </w:r>
      <w:r w:rsidRPr="00C5133C">
        <w:rPr>
          <w:rFonts w:ascii="Cambria" w:hAnsi="Cambria"/>
          <w:sz w:val="22"/>
        </w:rPr>
        <w:tab/>
        <w:t>=</w:t>
      </w:r>
      <w:r w:rsidRPr="00C5133C">
        <w:rPr>
          <w:rFonts w:ascii="Cambria" w:hAnsi="Cambria"/>
          <w:sz w:val="22"/>
        </w:rPr>
        <w:tab/>
        <w:t xml:space="preserve">variabel </w:t>
      </w:r>
      <w:r w:rsidR="00431E98">
        <w:rPr>
          <w:rFonts w:ascii="Cambria" w:hAnsi="Cambria"/>
          <w:sz w:val="22"/>
        </w:rPr>
        <w:t>i</w:t>
      </w:r>
      <w:r w:rsidR="00177C2A" w:rsidRPr="00C5133C">
        <w:rPr>
          <w:rFonts w:ascii="Cambria" w:hAnsi="Cambria"/>
          <w:sz w:val="22"/>
        </w:rPr>
        <w:t>ndependen</w:t>
      </w:r>
      <w:r w:rsidRPr="00C5133C">
        <w:rPr>
          <w:rFonts w:ascii="Cambria" w:hAnsi="Cambria"/>
          <w:sz w:val="22"/>
        </w:rPr>
        <w:t xml:space="preserve"> tidak berpengaruh</w:t>
      </w:r>
    </w:p>
    <w:p w14:paraId="1E28F59B" w14:textId="3599C6C8" w:rsidR="00C374C8" w:rsidRPr="00C5133C" w:rsidRDefault="00C374C8" w:rsidP="00C5133C">
      <w:pPr>
        <w:tabs>
          <w:tab w:val="left" w:pos="567"/>
        </w:tabs>
        <w:spacing w:line="276" w:lineRule="auto"/>
        <w:ind w:left="851" w:hanging="850"/>
        <w:rPr>
          <w:rFonts w:ascii="Cambria" w:hAnsi="Cambria"/>
          <w:sz w:val="22"/>
        </w:rPr>
      </w:pPr>
      <w:r w:rsidRPr="00C5133C">
        <w:rPr>
          <w:rFonts w:ascii="Cambria" w:hAnsi="Cambria"/>
          <w:sz w:val="22"/>
        </w:rPr>
        <w:t>H</w:t>
      </w:r>
      <w:r w:rsidRPr="00C5133C">
        <w:rPr>
          <w:rFonts w:ascii="Cambria" w:hAnsi="Cambria"/>
          <w:sz w:val="22"/>
          <w:vertAlign w:val="subscript"/>
        </w:rPr>
        <w:t>1</w:t>
      </w:r>
      <w:r w:rsidRPr="00C5133C">
        <w:rPr>
          <w:rFonts w:ascii="Cambria" w:hAnsi="Cambria"/>
          <w:sz w:val="22"/>
        </w:rPr>
        <w:tab/>
        <w:t>=</w:t>
      </w:r>
      <w:r w:rsidRPr="00C5133C">
        <w:rPr>
          <w:rFonts w:ascii="Cambria" w:hAnsi="Cambria"/>
          <w:sz w:val="22"/>
        </w:rPr>
        <w:tab/>
        <w:t>variabel</w:t>
      </w:r>
      <w:r w:rsidR="00431E98">
        <w:rPr>
          <w:rFonts w:ascii="Cambria" w:hAnsi="Cambria"/>
          <w:sz w:val="22"/>
        </w:rPr>
        <w:t xml:space="preserve"> i</w:t>
      </w:r>
      <w:r w:rsidR="00177C2A" w:rsidRPr="00C5133C">
        <w:rPr>
          <w:rFonts w:ascii="Cambria" w:hAnsi="Cambria"/>
          <w:sz w:val="22"/>
        </w:rPr>
        <w:t>ndependen</w:t>
      </w:r>
      <w:r w:rsidRPr="00C5133C">
        <w:rPr>
          <w:rFonts w:ascii="Cambria" w:hAnsi="Cambria"/>
          <w:sz w:val="22"/>
        </w:rPr>
        <w:t xml:space="preserve"> berpengaruh</w:t>
      </w:r>
    </w:p>
    <w:p w14:paraId="2462FBFA" w14:textId="4D36B7D2" w:rsidR="00C374C8" w:rsidRPr="00C5133C" w:rsidRDefault="00C374C8" w:rsidP="00C5133C">
      <w:pPr>
        <w:spacing w:line="276" w:lineRule="auto"/>
        <w:rPr>
          <w:rFonts w:ascii="Cambria" w:hAnsi="Cambria"/>
          <w:sz w:val="22"/>
          <w:lang w:val="en-US"/>
        </w:rPr>
      </w:pPr>
      <w:r w:rsidRPr="00C5133C">
        <w:rPr>
          <w:rFonts w:ascii="Cambria" w:hAnsi="Cambria"/>
          <w:sz w:val="22"/>
          <w:lang w:val="en-US"/>
        </w:rPr>
        <w:t xml:space="preserve">Apabila nilai probabilitas p-value dari variabel </w:t>
      </w:r>
      <w:r w:rsidR="00431E98">
        <w:rPr>
          <w:rFonts w:ascii="Cambria" w:hAnsi="Cambria"/>
          <w:sz w:val="22"/>
          <w:lang w:val="en-US"/>
        </w:rPr>
        <w:t>i</w:t>
      </w:r>
      <w:r w:rsidR="00177C2A" w:rsidRPr="00C5133C">
        <w:rPr>
          <w:rFonts w:ascii="Cambria" w:hAnsi="Cambria"/>
          <w:sz w:val="22"/>
          <w:lang w:val="en-US"/>
        </w:rPr>
        <w:t>ndependen</w:t>
      </w:r>
      <w:r w:rsidR="00431E98">
        <w:rPr>
          <w:rFonts w:ascii="Cambria" w:hAnsi="Cambria"/>
          <w:sz w:val="22"/>
          <w:lang w:val="en-US"/>
        </w:rPr>
        <w:t xml:space="preserve"> </w:t>
      </w:r>
      <w:r w:rsidRPr="00C5133C">
        <w:rPr>
          <w:rFonts w:ascii="Cambria" w:hAnsi="Cambria"/>
          <w:sz w:val="22"/>
          <w:lang w:val="en-US"/>
        </w:rPr>
        <w:t>lebih kecil dari tingkat signifikansi, maka H</w:t>
      </w:r>
      <w:r w:rsidRPr="00431E98">
        <w:rPr>
          <w:rFonts w:ascii="Cambria" w:hAnsi="Cambria"/>
          <w:sz w:val="22"/>
          <w:vertAlign w:val="subscript"/>
          <w:lang w:val="en-US"/>
        </w:rPr>
        <w:t>0</w:t>
      </w:r>
      <w:r w:rsidRPr="00C5133C">
        <w:rPr>
          <w:rFonts w:ascii="Cambria" w:hAnsi="Cambria"/>
          <w:sz w:val="22"/>
          <w:lang w:val="en-US"/>
        </w:rPr>
        <w:t xml:space="preserve"> ditolak dan H</w:t>
      </w:r>
      <w:r w:rsidRPr="00431E98">
        <w:rPr>
          <w:rFonts w:ascii="Cambria" w:hAnsi="Cambria"/>
          <w:sz w:val="22"/>
          <w:vertAlign w:val="subscript"/>
          <w:lang w:val="en-US"/>
        </w:rPr>
        <w:t xml:space="preserve">1 </w:t>
      </w:r>
      <w:r w:rsidRPr="00C5133C">
        <w:rPr>
          <w:rFonts w:ascii="Cambria" w:hAnsi="Cambria"/>
          <w:sz w:val="22"/>
          <w:lang w:val="en-US"/>
        </w:rPr>
        <w:t>diterima yang artinya variabel</w:t>
      </w:r>
      <w:r w:rsidR="00431E98">
        <w:rPr>
          <w:rFonts w:ascii="Cambria" w:hAnsi="Cambria"/>
          <w:sz w:val="22"/>
          <w:lang w:val="en-US"/>
        </w:rPr>
        <w:t xml:space="preserve"> i</w:t>
      </w:r>
      <w:r w:rsidR="00177C2A" w:rsidRPr="00C5133C">
        <w:rPr>
          <w:rFonts w:ascii="Cambria" w:hAnsi="Cambria"/>
          <w:sz w:val="22"/>
          <w:lang w:val="en-US"/>
        </w:rPr>
        <w:t>ndependen</w:t>
      </w:r>
      <w:r w:rsidRPr="00C5133C">
        <w:rPr>
          <w:rFonts w:ascii="Cambria" w:hAnsi="Cambria"/>
          <w:sz w:val="22"/>
          <w:lang w:val="en-US"/>
        </w:rPr>
        <w:t xml:space="preserve"> berpengaruh secara signifikan terhadap variabel dependen. Sebaliknya, apabila nilai probabilitas p-value dari variabel </w:t>
      </w:r>
      <w:r w:rsidR="00431E98">
        <w:rPr>
          <w:rFonts w:ascii="Cambria" w:hAnsi="Cambria"/>
          <w:sz w:val="22"/>
          <w:lang w:val="en-US"/>
        </w:rPr>
        <w:t>i</w:t>
      </w:r>
      <w:r w:rsidR="00177C2A" w:rsidRPr="00C5133C">
        <w:rPr>
          <w:rFonts w:ascii="Cambria" w:hAnsi="Cambria"/>
          <w:sz w:val="22"/>
          <w:lang w:val="en-US"/>
        </w:rPr>
        <w:t>ndependen</w:t>
      </w:r>
      <w:r w:rsidRPr="00C5133C">
        <w:rPr>
          <w:rFonts w:ascii="Cambria" w:hAnsi="Cambria"/>
          <w:sz w:val="22"/>
          <w:lang w:val="en-US"/>
        </w:rPr>
        <w:t xml:space="preserve"> lebih besar dari tingkat signifikansi, maka H</w:t>
      </w:r>
      <w:r w:rsidRPr="00431E98">
        <w:rPr>
          <w:rFonts w:ascii="Cambria" w:hAnsi="Cambria"/>
          <w:sz w:val="22"/>
          <w:vertAlign w:val="subscript"/>
          <w:lang w:val="en-US"/>
        </w:rPr>
        <w:t>0</w:t>
      </w:r>
      <w:r w:rsidRPr="00C5133C">
        <w:rPr>
          <w:rFonts w:ascii="Cambria" w:hAnsi="Cambria"/>
          <w:sz w:val="22"/>
          <w:lang w:val="en-US"/>
        </w:rPr>
        <w:t xml:space="preserve"> diterima dan H</w:t>
      </w:r>
      <w:r w:rsidRPr="00431E98">
        <w:rPr>
          <w:rFonts w:ascii="Cambria" w:hAnsi="Cambria"/>
          <w:sz w:val="22"/>
          <w:vertAlign w:val="subscript"/>
          <w:lang w:val="en-US"/>
        </w:rPr>
        <w:t>1</w:t>
      </w:r>
      <w:r w:rsidRPr="00C5133C">
        <w:rPr>
          <w:rFonts w:ascii="Cambria" w:hAnsi="Cambria"/>
          <w:sz w:val="22"/>
          <w:lang w:val="en-US"/>
        </w:rPr>
        <w:t xml:space="preserve"> ditolak yang artinya variabel </w:t>
      </w:r>
      <w:r w:rsidR="00431E98">
        <w:rPr>
          <w:rFonts w:ascii="Cambria" w:hAnsi="Cambria"/>
          <w:sz w:val="22"/>
          <w:lang w:val="en-US"/>
        </w:rPr>
        <w:t>i</w:t>
      </w:r>
      <w:r w:rsidR="00177C2A" w:rsidRPr="00C5133C">
        <w:rPr>
          <w:rFonts w:ascii="Cambria" w:hAnsi="Cambria"/>
          <w:sz w:val="22"/>
          <w:lang w:val="en-US"/>
        </w:rPr>
        <w:t>ndependen</w:t>
      </w:r>
      <w:r w:rsidRPr="00C5133C">
        <w:rPr>
          <w:rFonts w:ascii="Cambria" w:hAnsi="Cambria"/>
          <w:sz w:val="22"/>
          <w:lang w:val="en-US"/>
        </w:rPr>
        <w:t xml:space="preserve"> tidak berpengaruh terhadap variabel dependen. Secara ringkas, kesimpulan hasil Uji-t ditampilkan dalam tabel berikut:</w:t>
      </w:r>
    </w:p>
    <w:p w14:paraId="046966F0" w14:textId="4736E2C8" w:rsidR="00C374C8" w:rsidRPr="00431E98" w:rsidRDefault="00C374C8" w:rsidP="00C5133C">
      <w:pPr>
        <w:pStyle w:val="Heading5"/>
        <w:spacing w:line="276" w:lineRule="auto"/>
        <w:rPr>
          <w:rFonts w:ascii="Cambria" w:hAnsi="Cambria"/>
          <w:b/>
          <w:bCs/>
          <w:sz w:val="22"/>
          <w:lang w:val="en-US"/>
        </w:rPr>
      </w:pPr>
      <w:bookmarkStart w:id="25" w:name="_Toc84231603"/>
      <w:r w:rsidRPr="00431E98">
        <w:rPr>
          <w:rFonts w:ascii="Cambria" w:hAnsi="Cambria"/>
          <w:b/>
          <w:bCs/>
          <w:sz w:val="22"/>
          <w:lang w:val="en-US"/>
        </w:rPr>
        <w:lastRenderedPageBreak/>
        <w:t>Tabel</w:t>
      </w:r>
      <w:r w:rsidR="00770F6C" w:rsidRPr="00431E98">
        <w:rPr>
          <w:rFonts w:ascii="Cambria" w:hAnsi="Cambria"/>
          <w:b/>
          <w:bCs/>
          <w:sz w:val="22"/>
          <w:lang w:val="en-US"/>
        </w:rPr>
        <w:t xml:space="preserve"> 11</w:t>
      </w:r>
      <w:r w:rsidR="00431E98">
        <w:rPr>
          <w:rFonts w:ascii="Cambria" w:hAnsi="Cambria"/>
          <w:b/>
          <w:bCs/>
          <w:sz w:val="22"/>
          <w:lang w:val="en-US"/>
        </w:rPr>
        <w:t>.</w:t>
      </w:r>
      <w:r w:rsidRPr="00431E98">
        <w:rPr>
          <w:rFonts w:ascii="Cambria" w:hAnsi="Cambria"/>
          <w:b/>
          <w:bCs/>
          <w:sz w:val="22"/>
          <w:lang w:val="en-US"/>
        </w:rPr>
        <w:t xml:space="preserve"> </w:t>
      </w:r>
      <w:r w:rsidR="0075656D" w:rsidRPr="00431E98">
        <w:rPr>
          <w:rFonts w:ascii="Cambria" w:hAnsi="Cambria"/>
          <w:b/>
          <w:bCs/>
          <w:sz w:val="22"/>
          <w:lang w:val="en-US"/>
        </w:rPr>
        <w:t>S</w:t>
      </w:r>
      <w:r w:rsidRPr="00431E98">
        <w:rPr>
          <w:rFonts w:ascii="Cambria" w:hAnsi="Cambria"/>
          <w:b/>
          <w:bCs/>
          <w:sz w:val="22"/>
          <w:lang w:val="en-US"/>
        </w:rPr>
        <w:t>impulan uji–t</w:t>
      </w:r>
      <w:bookmarkEnd w:id="25"/>
    </w:p>
    <w:p w14:paraId="5A9EB2BE" w14:textId="4C53F055" w:rsidR="00C374C8" w:rsidRPr="00C5133C" w:rsidRDefault="00C374C8" w:rsidP="00C5133C">
      <w:pPr>
        <w:spacing w:line="276" w:lineRule="auto"/>
        <w:ind w:firstLine="0"/>
        <w:jc w:val="center"/>
        <w:rPr>
          <w:rFonts w:ascii="Cambria" w:hAnsi="Cambria"/>
          <w:sz w:val="22"/>
          <w:lang w:val="en-US"/>
        </w:rPr>
      </w:pPr>
      <w:r w:rsidRPr="00C5133C">
        <w:rPr>
          <w:rFonts w:ascii="Cambria" w:hAnsi="Cambria"/>
          <w:noProof/>
          <w:sz w:val="22"/>
          <w:lang w:val="en-US"/>
        </w:rPr>
        <w:drawing>
          <wp:inline distT="0" distB="0" distL="0" distR="0" wp14:anchorId="4ACDB5DA" wp14:editId="1D961302">
            <wp:extent cx="4743450" cy="22383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43450" cy="2238375"/>
                    </a:xfrm>
                    <a:prstGeom prst="rect">
                      <a:avLst/>
                    </a:prstGeom>
                    <a:noFill/>
                    <a:ln>
                      <a:noFill/>
                    </a:ln>
                  </pic:spPr>
                </pic:pic>
              </a:graphicData>
            </a:graphic>
          </wp:inline>
        </w:drawing>
      </w:r>
    </w:p>
    <w:p w14:paraId="1FA6F74A" w14:textId="29EDEA2C" w:rsidR="00431E98" w:rsidRDefault="00431E98" w:rsidP="00431E98">
      <w:pPr>
        <w:spacing w:line="276" w:lineRule="auto"/>
        <w:ind w:firstLine="0"/>
        <w:jc w:val="center"/>
        <w:rPr>
          <w:rFonts w:ascii="Cambria" w:hAnsi="Cambria" w:cs="Times New Roman"/>
          <w:sz w:val="22"/>
          <w:lang w:val="en-US"/>
        </w:rPr>
      </w:pPr>
      <w:r w:rsidRPr="00C5133C">
        <w:rPr>
          <w:rFonts w:ascii="Cambria" w:hAnsi="Cambria" w:cs="Times New Roman"/>
          <w:sz w:val="22"/>
          <w:lang w:val="en-US"/>
        </w:rPr>
        <w:t xml:space="preserve">Sumber: </w:t>
      </w:r>
      <w:r>
        <w:rPr>
          <w:rFonts w:ascii="Cambria" w:hAnsi="Cambria" w:cs="Times New Roman"/>
          <w:sz w:val="22"/>
          <w:lang w:val="en-US"/>
        </w:rPr>
        <w:t>Olahan data peneliti dengan</w:t>
      </w:r>
      <w:r w:rsidRPr="00C5133C">
        <w:rPr>
          <w:rFonts w:ascii="Cambria" w:hAnsi="Cambria" w:cs="Times New Roman"/>
          <w:sz w:val="22"/>
          <w:lang w:val="en-US"/>
        </w:rPr>
        <w:t xml:space="preserve"> </w:t>
      </w:r>
      <w:r>
        <w:rPr>
          <w:rFonts w:ascii="Cambria" w:hAnsi="Cambria" w:cs="Times New Roman"/>
          <w:i/>
          <w:iCs/>
          <w:sz w:val="22"/>
          <w:lang w:val="en-US"/>
        </w:rPr>
        <w:t>E</w:t>
      </w:r>
      <w:r w:rsidRPr="00C5133C">
        <w:rPr>
          <w:rFonts w:ascii="Cambria" w:hAnsi="Cambria" w:cs="Times New Roman"/>
          <w:i/>
          <w:iCs/>
          <w:sz w:val="22"/>
          <w:lang w:val="en-US"/>
        </w:rPr>
        <w:t>views</w:t>
      </w:r>
      <w:r w:rsidRPr="00C5133C">
        <w:rPr>
          <w:rFonts w:ascii="Cambria" w:hAnsi="Cambria" w:cs="Times New Roman"/>
          <w:sz w:val="22"/>
          <w:lang w:val="en-US"/>
        </w:rPr>
        <w:t xml:space="preserve"> 9</w:t>
      </w:r>
      <w:r>
        <w:rPr>
          <w:rFonts w:ascii="Cambria" w:hAnsi="Cambria" w:cs="Times New Roman"/>
          <w:sz w:val="22"/>
          <w:lang w:val="en-US"/>
        </w:rPr>
        <w:t xml:space="preserve"> (2021)</w:t>
      </w:r>
    </w:p>
    <w:p w14:paraId="273D716D" w14:textId="77777777" w:rsidR="00431E98" w:rsidRDefault="00431E98" w:rsidP="00431E98">
      <w:pPr>
        <w:spacing w:line="276" w:lineRule="auto"/>
        <w:ind w:firstLine="0"/>
        <w:jc w:val="center"/>
        <w:rPr>
          <w:rFonts w:ascii="Cambria" w:hAnsi="Cambria" w:cs="Times New Roman"/>
          <w:sz w:val="22"/>
          <w:lang w:val="en-US"/>
        </w:rPr>
      </w:pPr>
    </w:p>
    <w:p w14:paraId="3BE45EFD" w14:textId="6B9E4D05" w:rsidR="00C374C8" w:rsidRPr="00C5133C" w:rsidRDefault="00C374C8" w:rsidP="00431E98">
      <w:pPr>
        <w:spacing w:line="276" w:lineRule="auto"/>
        <w:rPr>
          <w:rFonts w:ascii="Cambria" w:hAnsi="Cambria" w:cs="Times New Roman"/>
          <w:sz w:val="22"/>
          <w:lang w:val="en-US"/>
        </w:rPr>
      </w:pPr>
      <w:r w:rsidRPr="00C5133C">
        <w:rPr>
          <w:rFonts w:ascii="Cambria" w:hAnsi="Cambria" w:cs="Times New Roman"/>
          <w:sz w:val="22"/>
          <w:lang w:val="en-US"/>
        </w:rPr>
        <w:t xml:space="preserve">Penelitian ini menggunakan dua variabel kontrol yaitu ukuran perusahaan (SIZE) dan </w:t>
      </w:r>
      <w:r w:rsidR="00FA0990" w:rsidRPr="00C5133C">
        <w:rPr>
          <w:rFonts w:ascii="Cambria" w:hAnsi="Cambria" w:cs="Times New Roman"/>
          <w:i/>
          <w:sz w:val="22"/>
          <w:lang w:val="en-US"/>
        </w:rPr>
        <w:t>leverage</w:t>
      </w:r>
      <w:r w:rsidRPr="00C5133C">
        <w:rPr>
          <w:rFonts w:ascii="Cambria" w:hAnsi="Cambria" w:cs="Times New Roman"/>
          <w:sz w:val="22"/>
          <w:lang w:val="en-US"/>
        </w:rPr>
        <w:t xml:space="preserve"> (LEV). Berdasarkan hasil uji-t, ukuran perusahaan dan </w:t>
      </w:r>
      <w:r w:rsidR="00FA0990" w:rsidRPr="00C5133C">
        <w:rPr>
          <w:rFonts w:ascii="Cambria" w:hAnsi="Cambria" w:cs="Times New Roman"/>
          <w:i/>
          <w:sz w:val="22"/>
          <w:lang w:val="en-US"/>
        </w:rPr>
        <w:t>leverage</w:t>
      </w:r>
      <w:r w:rsidRPr="00C5133C">
        <w:rPr>
          <w:rFonts w:ascii="Cambria" w:hAnsi="Cambria" w:cs="Times New Roman"/>
          <w:sz w:val="22"/>
          <w:lang w:val="en-US"/>
        </w:rPr>
        <w:t xml:space="preserve"> memiliki pengaruh positif signifikan terhadap penghindaran pajak. </w:t>
      </w:r>
    </w:p>
    <w:p w14:paraId="255122EB" w14:textId="51B9151A" w:rsidR="00286592" w:rsidRPr="00C5133C" w:rsidRDefault="003178B6" w:rsidP="00431E98">
      <w:pPr>
        <w:spacing w:line="276" w:lineRule="auto"/>
        <w:rPr>
          <w:rFonts w:ascii="Cambria" w:hAnsi="Cambria"/>
          <w:sz w:val="22"/>
          <w:lang w:val="en-US"/>
        </w:rPr>
      </w:pPr>
      <w:r w:rsidRPr="00C5133C">
        <w:rPr>
          <w:rFonts w:ascii="Cambria" w:hAnsi="Cambria"/>
          <w:sz w:val="22"/>
          <w:lang w:val="en-US"/>
        </w:rPr>
        <w:t>Analisis ini dilakukan untuk menentukan arah dan mengukur seberapa kuat hubungan yang dimiliki oleh setiap variabel dalam penelitian. Hasil persamaan regresi yang diperoleh dari penel</w:t>
      </w:r>
      <w:r w:rsidR="005E0A32" w:rsidRPr="00C5133C">
        <w:rPr>
          <w:rFonts w:ascii="Cambria" w:hAnsi="Cambria"/>
          <w:sz w:val="22"/>
          <w:lang w:val="en-US"/>
        </w:rPr>
        <w:t xml:space="preserve">itian ini </w:t>
      </w:r>
      <w:proofErr w:type="gramStart"/>
      <w:r w:rsidR="005E0A32" w:rsidRPr="00C5133C">
        <w:rPr>
          <w:rFonts w:ascii="Cambria" w:hAnsi="Cambria"/>
          <w:sz w:val="22"/>
          <w:lang w:val="en-US"/>
        </w:rPr>
        <w:t>adalah</w:t>
      </w:r>
      <w:r w:rsidRPr="00C5133C">
        <w:rPr>
          <w:rFonts w:ascii="Cambria" w:hAnsi="Cambria"/>
          <w:sz w:val="22"/>
          <w:lang w:val="en-US"/>
        </w:rPr>
        <w:t xml:space="preserve"> :</w:t>
      </w:r>
      <w:proofErr w:type="gramEnd"/>
      <w:r w:rsidRPr="00C5133C">
        <w:rPr>
          <w:rFonts w:ascii="Cambria" w:hAnsi="Cambria"/>
          <w:sz w:val="22"/>
          <w:lang w:val="en-US"/>
        </w:rPr>
        <w:t xml:space="preserve"> </w:t>
      </w:r>
    </w:p>
    <w:p w14:paraId="6042131C" w14:textId="487D8D52" w:rsidR="00431E98" w:rsidRPr="00AA1D33" w:rsidRDefault="00AA1D33" w:rsidP="00431E98">
      <w:pPr>
        <w:spacing w:line="276" w:lineRule="auto"/>
        <w:ind w:firstLine="0"/>
        <w:jc w:val="left"/>
        <w:rPr>
          <w:rFonts w:ascii="Cambria" w:eastAsiaTheme="minorEastAsia" w:hAnsi="Cambria" w:cs="Times New Roman"/>
          <w:bCs/>
          <w:sz w:val="22"/>
        </w:rPr>
      </w:pPr>
      <m:oMathPara>
        <m:oMath>
          <m:r>
            <w:rPr>
              <w:rFonts w:ascii="Cambria Math" w:hAnsi="Cambria Math" w:cs="Times New Roman"/>
              <w:sz w:val="22"/>
            </w:rPr>
            <m:t xml:space="preserve">Taxav= </m:t>
          </m:r>
          <m:r>
            <m:rPr>
              <m:sty m:val="p"/>
            </m:rPr>
            <w:rPr>
              <w:rFonts w:ascii="Cambria Math" w:hAnsi="Cambria Math" w:cs="Times New Roman"/>
              <w:sz w:val="22"/>
            </w:rPr>
            <m:t>-9,763085</m:t>
          </m:r>
          <m:r>
            <w:rPr>
              <w:rFonts w:ascii="Cambria Math" w:hAnsi="Cambria Math" w:cs="Times New Roman"/>
              <w:sz w:val="22"/>
            </w:rPr>
            <m:t xml:space="preserve"> </m:t>
          </m:r>
          <m:r>
            <m:rPr>
              <m:sty m:val="p"/>
            </m:rPr>
            <w:rPr>
              <w:rFonts w:ascii="Cambria Math" w:hAnsi="Cambria Math" w:cs="Times New Roman"/>
              <w:sz w:val="22"/>
            </w:rPr>
            <m:t xml:space="preserve">- 0,179610 </m:t>
          </m:r>
          <m:sSub>
            <m:sSubPr>
              <m:ctrlPr>
                <w:rPr>
                  <w:rFonts w:ascii="Cambria Math" w:hAnsi="Cambria Math" w:cs="Times New Roman"/>
                  <w:bCs/>
                  <w:i/>
                  <w:sz w:val="22"/>
                </w:rPr>
              </m:ctrlPr>
            </m:sSubPr>
            <m:e>
              <m:r>
                <w:rPr>
                  <w:rFonts w:ascii="Cambria Math" w:hAnsi="Cambria Math" w:cs="Times New Roman"/>
                  <w:sz w:val="22"/>
                </w:rPr>
                <m:t>MLACC</m:t>
              </m:r>
            </m:e>
            <m:sub>
              <m:r>
                <w:rPr>
                  <w:rFonts w:ascii="Cambria Math" w:hAnsi="Cambria Math" w:cs="Times New Roman"/>
                  <w:sz w:val="22"/>
                </w:rPr>
                <m:t>i,t</m:t>
              </m:r>
            </m:sub>
          </m:sSub>
          <m:r>
            <m:rPr>
              <m:sty m:val="p"/>
            </m:rPr>
            <w:rPr>
              <w:rFonts w:ascii="Cambria Math" w:hAnsi="Cambria Math" w:cs="Times New Roman"/>
              <w:sz w:val="22"/>
            </w:rPr>
            <m:t xml:space="preserve">- 6,349525 </m:t>
          </m:r>
          <m:sSub>
            <m:sSubPr>
              <m:ctrlPr>
                <w:rPr>
                  <w:rFonts w:ascii="Cambria Math" w:hAnsi="Cambria Math" w:cs="Times New Roman"/>
                  <w:bCs/>
                  <w:i/>
                  <w:sz w:val="22"/>
                </w:rPr>
              </m:ctrlPr>
            </m:sSubPr>
            <m:e>
              <m:r>
                <w:rPr>
                  <w:rFonts w:ascii="Cambria Math" w:hAnsi="Cambria Math" w:cs="Times New Roman"/>
                  <w:sz w:val="22"/>
                </w:rPr>
                <m:t>MLRCF</m:t>
              </m:r>
            </m:e>
            <m:sub>
              <m:r>
                <w:rPr>
                  <w:rFonts w:ascii="Cambria Math" w:hAnsi="Cambria Math" w:cs="Times New Roman"/>
                  <w:sz w:val="22"/>
                </w:rPr>
                <m:t>i,t</m:t>
              </m:r>
            </m:sub>
          </m:sSub>
          <m:r>
            <m:rPr>
              <m:sty m:val="p"/>
            </m:rPr>
            <w:rPr>
              <w:rFonts w:ascii="Cambria Math" w:hAnsi="Cambria Math" w:cs="Times New Roman"/>
              <w:sz w:val="22"/>
            </w:rPr>
            <m:t>- 2,511633</m:t>
          </m:r>
          <m:r>
            <m:rPr>
              <m:sty m:val="p"/>
            </m:rPr>
            <w:rPr>
              <w:rFonts w:ascii="Cambria Math" w:hAnsi="Cambria" w:cs="Times New Roman"/>
              <w:sz w:val="22"/>
            </w:rPr>
            <m:t xml:space="preserve"> </m:t>
          </m:r>
          <m:sSub>
            <m:sSubPr>
              <m:ctrlPr>
                <w:rPr>
                  <w:rFonts w:ascii="Cambria Math" w:hAnsi="Cambria Math" w:cs="Times New Roman"/>
                  <w:bCs/>
                  <w:i/>
                  <w:sz w:val="22"/>
                </w:rPr>
              </m:ctrlPr>
            </m:sSubPr>
            <m:e>
              <m:r>
                <w:rPr>
                  <w:rFonts w:ascii="Cambria Math" w:hAnsi="Cambria Math" w:cs="Times New Roman"/>
                  <w:sz w:val="22"/>
                </w:rPr>
                <m:t>MLRPROD</m:t>
              </m:r>
            </m:e>
            <m:sub>
              <m:r>
                <w:rPr>
                  <w:rFonts w:ascii="Cambria Math" w:hAnsi="Cambria Math" w:cs="Times New Roman"/>
                  <w:sz w:val="22"/>
                </w:rPr>
                <m:t>i,t</m:t>
              </m:r>
            </m:sub>
          </m:sSub>
          <m:r>
            <m:rPr>
              <m:sty m:val="p"/>
            </m:rPr>
            <w:rPr>
              <w:rFonts w:ascii="Cambria Math" w:hAnsi="Cambria Math" w:cs="Times New Roman"/>
              <w:sz w:val="22"/>
            </w:rPr>
            <m:t xml:space="preserve">+ 484,5906 </m:t>
          </m:r>
          <m:sSub>
            <m:sSubPr>
              <m:ctrlPr>
                <w:rPr>
                  <w:rFonts w:ascii="Cambria Math" w:hAnsi="Cambria Math" w:cs="Times New Roman"/>
                  <w:bCs/>
                  <w:i/>
                  <w:sz w:val="22"/>
                </w:rPr>
              </m:ctrlPr>
            </m:sSubPr>
            <m:e>
              <m:r>
                <w:rPr>
                  <w:rFonts w:ascii="Cambria Math" w:hAnsi="Cambria Math" w:cs="Times New Roman"/>
                  <w:sz w:val="22"/>
                </w:rPr>
                <m:t>MLRDISK</m:t>
              </m:r>
            </m:e>
            <m:sub>
              <m:r>
                <w:rPr>
                  <w:rFonts w:ascii="Cambria Math" w:hAnsi="Cambria Math" w:cs="Times New Roman"/>
                  <w:sz w:val="22"/>
                </w:rPr>
                <m:t>i,t</m:t>
              </m:r>
            </m:sub>
          </m:sSub>
          <m:r>
            <m:rPr>
              <m:sty m:val="p"/>
            </m:rPr>
            <w:rPr>
              <w:rFonts w:ascii="Cambria Math" w:hAnsi="Cambria Math" w:cs="Times New Roman"/>
              <w:sz w:val="22"/>
            </w:rPr>
            <m:t>+0,158908</m:t>
          </m:r>
          <m:sSub>
            <m:sSubPr>
              <m:ctrlPr>
                <w:rPr>
                  <w:rFonts w:ascii="Cambria Math" w:hAnsi="Cambria Math" w:cs="Times New Roman"/>
                  <w:bCs/>
                  <w:i/>
                  <w:sz w:val="22"/>
                </w:rPr>
              </m:ctrlPr>
            </m:sSubPr>
            <m:e>
              <m:r>
                <w:rPr>
                  <w:rFonts w:ascii="Cambria Math" w:hAnsi="Cambria Math" w:cs="Times New Roman"/>
                  <w:sz w:val="22"/>
                </w:rPr>
                <m:t xml:space="preserve"> TP</m:t>
              </m:r>
            </m:e>
            <m:sub>
              <m:r>
                <w:rPr>
                  <w:rFonts w:ascii="Cambria Math" w:hAnsi="Cambria Math" w:cs="Times New Roman"/>
                  <w:sz w:val="22"/>
                </w:rPr>
                <m:t>i,t</m:t>
              </m:r>
            </m:sub>
          </m:sSub>
          <m:r>
            <m:rPr>
              <m:sty m:val="p"/>
            </m:rPr>
            <w:rPr>
              <w:rFonts w:ascii="Cambria Math" w:hAnsi="Cambria Math" w:cs="Times New Roman"/>
              <w:sz w:val="22"/>
            </w:rPr>
            <m:t xml:space="preserve">+ 0,382107 </m:t>
          </m:r>
          <m:sSub>
            <m:sSubPr>
              <m:ctrlPr>
                <w:rPr>
                  <w:rFonts w:ascii="Cambria Math" w:hAnsi="Cambria Math" w:cs="Times New Roman"/>
                  <w:bCs/>
                  <w:i/>
                  <w:sz w:val="22"/>
                </w:rPr>
              </m:ctrlPr>
            </m:sSubPr>
            <m:e>
              <m:r>
                <w:rPr>
                  <w:rFonts w:ascii="Cambria Math" w:hAnsi="Cambria Math" w:cs="Times New Roman"/>
                  <w:sz w:val="22"/>
                </w:rPr>
                <m:t>SIZE</m:t>
              </m:r>
            </m:e>
            <m:sub>
              <m:r>
                <w:rPr>
                  <w:rFonts w:ascii="Cambria Math" w:hAnsi="Cambria Math" w:cs="Times New Roman"/>
                  <w:sz w:val="22"/>
                </w:rPr>
                <m:t>i,t</m:t>
              </m:r>
            </m:sub>
          </m:sSub>
          <m:r>
            <m:rPr>
              <m:sty m:val="p"/>
            </m:rPr>
            <w:rPr>
              <w:rFonts w:ascii="Cambria Math" w:hAnsi="Cambria Math" w:cs="Times New Roman"/>
              <w:sz w:val="22"/>
            </w:rPr>
            <m:t xml:space="preserve">+ 0,628018 </m:t>
          </m:r>
          <m:sSub>
            <m:sSubPr>
              <m:ctrlPr>
                <w:rPr>
                  <w:rFonts w:ascii="Cambria Math" w:hAnsi="Cambria Math" w:cs="Times New Roman"/>
                  <w:bCs/>
                  <w:i/>
                  <w:sz w:val="22"/>
                </w:rPr>
              </m:ctrlPr>
            </m:sSubPr>
            <m:e>
              <m:r>
                <w:rPr>
                  <w:rFonts w:ascii="Cambria Math" w:hAnsi="Cambria Math" w:cs="Times New Roman"/>
                  <w:sz w:val="22"/>
                </w:rPr>
                <m:t>LEV</m:t>
              </m:r>
            </m:e>
            <m:sub>
              <m:r>
                <w:rPr>
                  <w:rFonts w:ascii="Cambria Math" w:hAnsi="Cambria Math" w:cs="Times New Roman"/>
                  <w:sz w:val="22"/>
                </w:rPr>
                <m:t>i,t</m:t>
              </m:r>
            </m:sub>
          </m:sSub>
          <m:r>
            <w:rPr>
              <w:rFonts w:ascii="Cambria Math" w:hAnsi="Cambria Math" w:cs="Times New Roman"/>
              <w:sz w:val="22"/>
            </w:rPr>
            <m:t>+ε</m:t>
          </m:r>
        </m:oMath>
      </m:oMathPara>
    </w:p>
    <w:p w14:paraId="13A36AB8" w14:textId="77777777" w:rsidR="00AA1D33" w:rsidRPr="00AA1D33" w:rsidRDefault="00AA1D33" w:rsidP="00431E98">
      <w:pPr>
        <w:spacing w:line="276" w:lineRule="auto"/>
        <w:ind w:firstLine="0"/>
        <w:jc w:val="left"/>
        <w:rPr>
          <w:rFonts w:ascii="Cambria" w:eastAsiaTheme="minorEastAsia" w:hAnsi="Cambria" w:cs="Times New Roman"/>
          <w:bCs/>
          <w:sz w:val="22"/>
        </w:rPr>
      </w:pPr>
    </w:p>
    <w:p w14:paraId="46D30156" w14:textId="25B510BE" w:rsidR="00C374C8" w:rsidRPr="00C5133C" w:rsidRDefault="00C374C8" w:rsidP="00AA1D33">
      <w:pPr>
        <w:pStyle w:val="Heading2"/>
        <w:spacing w:after="200" w:line="276" w:lineRule="auto"/>
        <w:rPr>
          <w:rFonts w:ascii="Cambria" w:hAnsi="Cambria"/>
          <w:sz w:val="22"/>
          <w:szCs w:val="22"/>
          <w:lang w:val="en-US"/>
        </w:rPr>
      </w:pPr>
      <w:bookmarkStart w:id="26" w:name="_Toc84232439"/>
      <w:r w:rsidRPr="00C5133C">
        <w:rPr>
          <w:rFonts w:ascii="Cambria" w:hAnsi="Cambria"/>
          <w:sz w:val="22"/>
          <w:szCs w:val="22"/>
          <w:lang w:val="en-US"/>
        </w:rPr>
        <w:t xml:space="preserve">Pembahasan Hasil </w:t>
      </w:r>
      <w:r w:rsidRPr="00C5133C">
        <w:rPr>
          <w:rFonts w:ascii="Cambria" w:hAnsi="Cambria"/>
          <w:sz w:val="22"/>
          <w:szCs w:val="22"/>
        </w:rPr>
        <w:t>Penelitian</w:t>
      </w:r>
      <w:bookmarkEnd w:id="26"/>
    </w:p>
    <w:p w14:paraId="27E71CC8" w14:textId="7356EAAE" w:rsidR="00C374C8" w:rsidRPr="00C5133C" w:rsidRDefault="00C374C8" w:rsidP="00AA1D33">
      <w:pPr>
        <w:pStyle w:val="Heading3"/>
        <w:spacing w:after="200" w:line="276" w:lineRule="auto"/>
        <w:rPr>
          <w:rFonts w:ascii="Cambria" w:hAnsi="Cambria"/>
          <w:sz w:val="22"/>
          <w:szCs w:val="22"/>
          <w:lang w:val="en-US"/>
        </w:rPr>
      </w:pPr>
      <w:bookmarkStart w:id="27" w:name="_Toc84232440"/>
      <w:r w:rsidRPr="00C5133C">
        <w:rPr>
          <w:rFonts w:ascii="Cambria" w:hAnsi="Cambria"/>
          <w:sz w:val="22"/>
          <w:szCs w:val="22"/>
        </w:rPr>
        <w:t>Pengaruh Manajemen Laba Akrual Terhadap Penghindaran Pajak</w:t>
      </w:r>
      <w:bookmarkEnd w:id="27"/>
    </w:p>
    <w:p w14:paraId="6847E4A5" w14:textId="7EE419A4" w:rsidR="00C374C8" w:rsidRPr="00C5133C" w:rsidRDefault="00C374C8" w:rsidP="00C5133C">
      <w:pPr>
        <w:spacing w:line="276" w:lineRule="auto"/>
        <w:rPr>
          <w:rFonts w:ascii="Cambria" w:hAnsi="Cambria"/>
          <w:sz w:val="22"/>
          <w:lang w:val="en-US"/>
        </w:rPr>
      </w:pPr>
      <w:r w:rsidRPr="00C5133C">
        <w:rPr>
          <w:rFonts w:ascii="Cambria" w:hAnsi="Cambria"/>
          <w:sz w:val="22"/>
          <w:lang w:val="en-US"/>
        </w:rPr>
        <w:t xml:space="preserve">Hasil uji-t menunjukkan bahwa variabel manajemen laba akrual berpengaruh negatif tidak signifikan terhadap penghindaran pajak. Hal ini menandakan bahwa aktivitas manajemen laba yang dilakukan oleh perusahaan tidak memiliki dampak yang signifikan terhadap penghindaran pajak. Hasil ini tidak sejalan dengan hipotesis yang dibangun, dimana manajemen laba akrual berpengaruh positif signifikan terhadap penghindaran pajak. Hasil penelitian ini berbeda dengan penelitian oleh </w:t>
      </w:r>
      <w:r w:rsidRPr="00C5133C">
        <w:rPr>
          <w:rFonts w:ascii="Cambria" w:hAnsi="Cambria"/>
          <w:sz w:val="22"/>
          <w:lang w:val="en-US"/>
        </w:rPr>
        <w:fldChar w:fldCharType="begin" w:fldLock="1"/>
      </w:r>
      <w:r w:rsidRPr="00C5133C">
        <w:rPr>
          <w:rFonts w:ascii="Cambria" w:hAnsi="Cambria"/>
          <w:sz w:val="22"/>
          <w:lang w:val="en-US"/>
        </w:rPr>
        <w:instrText>ADDIN CSL_CITATION {"citationItems":[{"id":"ITEM-1","itemData":{"DOI":"10.32493/keberlanjutan.v2i1.y2017.p431-459","ISSN":"2528-5599","abstract":"AbstractThis research is aimed to provide empirical evident about relationship between leverage, loss carry forward and earnings management on tax avoidance. Using purposive sampling this research selected 264 firms that are listed in Indonesian Stock Exchange from 2013-2015 as samples. The result of multiple regression of panel data shows that there is significant relationship between leverage and earnings management on tax avoidance. Meanwhile, loss carry forward shows no significant relationship on tax avoidance. Keywords: leverage, loss carry forward, earnings management, tax avoidance","author":[{"dropping-particle":"","family":"Pajriyansyah","given":"Ridwan -","non-dropping-particle":"","parse-names":false,"suffix":""},{"dropping-particle":"","family":"Firmansyah","given":"Amrie -","non-dropping-particle":"","parse-names":false,"suffix":""}],"container-title":"Keberlanjutan","id":"ITEM-1","issue":"1","issued":{"date-parts":[["2017"]]},"page":"431","title":"Pengaruh Leverage, Kompensasi Rugi Fiskal Dan Manajemen Laba Terhadap Penghindaran Pajak","type":"article-journal","volume":"2"},"uris":["http://www.mendeley.com/documents/?uuid=79dde6cf-71c5-4f7f-8af3-6f1db3e66d65"]}],"mendeley":{"formattedCitation":"(Pajriyansyah &amp; Firmansyah, 2017)","manualFormatting":"Pajriyansyah &amp; Firmansyah, (2017","plainTextFormattedCitation":"(Pajriyansyah &amp; Firmansyah, 2017)","previouslyFormattedCitation":"(Pajriyansyah &amp; Firmansyah, 2017)"},"properties":{"noteIndex":0},"schema":"https://github.com/citation-style-language/schema/raw/master/csl-citation.json"}</w:instrText>
      </w:r>
      <w:r w:rsidRPr="00C5133C">
        <w:rPr>
          <w:rFonts w:ascii="Cambria" w:hAnsi="Cambria"/>
          <w:sz w:val="22"/>
          <w:lang w:val="en-US"/>
        </w:rPr>
        <w:fldChar w:fldCharType="separate"/>
      </w:r>
      <w:r w:rsidRPr="00C5133C">
        <w:rPr>
          <w:rFonts w:ascii="Cambria" w:hAnsi="Cambria"/>
          <w:noProof/>
          <w:sz w:val="22"/>
          <w:lang w:val="en-US"/>
        </w:rPr>
        <w:t>Pajriyansyah &amp; Firmansyah, (2017</w:t>
      </w:r>
      <w:r w:rsidRPr="00C5133C">
        <w:rPr>
          <w:rFonts w:ascii="Cambria" w:hAnsi="Cambria"/>
          <w:sz w:val="22"/>
          <w:lang w:val="en-US"/>
        </w:rPr>
        <w:fldChar w:fldCharType="end"/>
      </w:r>
      <w:r w:rsidRPr="00C5133C">
        <w:rPr>
          <w:rFonts w:ascii="Cambria" w:hAnsi="Cambria"/>
          <w:sz w:val="22"/>
          <w:lang w:val="en-US"/>
        </w:rPr>
        <w:t xml:space="preserve">); </w:t>
      </w:r>
      <w:r w:rsidRPr="00C5133C">
        <w:rPr>
          <w:rFonts w:ascii="Cambria" w:hAnsi="Cambria"/>
          <w:sz w:val="22"/>
          <w:lang w:val="en-US"/>
        </w:rPr>
        <w:fldChar w:fldCharType="begin" w:fldLock="1"/>
      </w:r>
      <w:r w:rsidRPr="00C5133C">
        <w:rPr>
          <w:rFonts w:ascii="Cambria" w:hAnsi="Cambria"/>
          <w:sz w:val="22"/>
          <w:lang w:val="en-US"/>
        </w:rPr>
        <w:instrText>ADDIN CSL_CITATION {"citationItems":[{"id":"ITEM-1","itemData":{"DOI":"10.33062/ajb.v3i1.175","ISSN":"2527-4309","abstract":"This study a ims to get t h e empirical evidence about the influence ofearnings management, audit quality and CEO duality on the tax avoidance. Taxavoidance has used an effective tax rate (ETR) by calculating the corporate taxesexpenses divided by the earnings before income and tax during a certain period.Population of this research are the manufacturing companies in IndonesiaStock Exchange in 2014-2016 which 48 companies are using the purposive samplingtechnique. Methods of data analysis has applied the descriptive statistical analysisand multiple linear regression.These results have indicated that earnings management, audit quality andCEO duality have had a significant effect simultaneously on the tax avoidance.However, partial test results have shown that the audit quality and CEO dualityhave not affected the tax avoidance. While the earnings manegement has had asignificant effect on the tax avoidance.","author":[{"dropping-particle":"","family":"Purba","given":"Darwin Marasi","non-dropping-particle":"","parse-names":false,"suffix":""}],"container-title":"The Accounting Journal of Binaniaga","id":"ITEM-1","issue":"1","issued":{"date-parts":[["2018"]]},"page":"25","title":"The Influence of Earnings Management, Audit Quality and CEO Duality on Tax Avoidance","type":"article-journal","volume":"3"},"uris":["http://www.mendeley.com/documents/?uuid=27ec5fc0-b251-4f8f-998e-aa80f6287ba9"]}],"mendeley":{"formattedCitation":"(Purba, 2018)","manualFormatting":"Purba, (2018","plainTextFormattedCitation":"(Purba, 2018)","previouslyFormattedCitation":"(Purba, 2018)"},"properties":{"noteIndex":0},"schema":"https://github.com/citation-style-language/schema/raw/master/csl-citation.json"}</w:instrText>
      </w:r>
      <w:r w:rsidRPr="00C5133C">
        <w:rPr>
          <w:rFonts w:ascii="Cambria" w:hAnsi="Cambria"/>
          <w:sz w:val="22"/>
          <w:lang w:val="en-US"/>
        </w:rPr>
        <w:fldChar w:fldCharType="separate"/>
      </w:r>
      <w:r w:rsidRPr="00C5133C">
        <w:rPr>
          <w:rFonts w:ascii="Cambria" w:hAnsi="Cambria"/>
          <w:noProof/>
          <w:sz w:val="22"/>
          <w:lang w:val="en-US"/>
        </w:rPr>
        <w:t>Purba, (2018</w:t>
      </w:r>
      <w:r w:rsidRPr="00C5133C">
        <w:rPr>
          <w:rFonts w:ascii="Cambria" w:hAnsi="Cambria"/>
          <w:sz w:val="22"/>
          <w:lang w:val="en-US"/>
        </w:rPr>
        <w:fldChar w:fldCharType="end"/>
      </w:r>
      <w:r w:rsidRPr="00C5133C">
        <w:rPr>
          <w:rFonts w:ascii="Cambria" w:hAnsi="Cambria"/>
          <w:sz w:val="22"/>
          <w:lang w:val="en-US"/>
        </w:rPr>
        <w:t xml:space="preserve">); </w:t>
      </w:r>
      <w:r w:rsidRPr="00C5133C">
        <w:rPr>
          <w:rFonts w:ascii="Cambria" w:hAnsi="Cambria"/>
          <w:sz w:val="22"/>
          <w:lang w:val="en-US"/>
        </w:rPr>
        <w:fldChar w:fldCharType="begin" w:fldLock="1"/>
      </w:r>
      <w:r w:rsidRPr="00C5133C">
        <w:rPr>
          <w:rFonts w:ascii="Cambria" w:hAnsi="Cambria"/>
          <w:sz w:val="22"/>
          <w:lang w:val="en-US"/>
        </w:rPr>
        <w:instrText>ADDIN CSL_CITATION {"citationItems":[{"id":"ITEM-1","itemData":{"ISSN":"1869-0459","abstract":"Transfer Pricing has been deployed by most companies to optimize their after tax profit. On the other hands, earning management can also be used to achieve similar objective. This study aims to investigate the impact of transfer pricing, accrual earnings management, and real earning management on tax avoidance. To Test the hypotheses we used multiple linear regression models. The sample in this study was 63 manufacturing companies listed on the IDX with a research period of 2014-2017. The results show that transfer pricing has a significant negative effect on tax avoidance. It means companies do not use transfer pricing activities as a medium of tax avoidance. In contrast, accrual earning management has a significant positive effect on tax avoidance, meaning that earnings management through accrual activity is used by companies to carry out tax avoidance. Furthermore, real earning management has a significant negative effect on tax avoidance, meaning that the higher earnings management activities through real activities carried out by the company reduce the possibility of companies doing tax avoidance. ABSTRACT FROM AUTHOR","author":[{"dropping-particle":"","family":"Irawan","given":"Ferry","non-dropping-particle":"","parse-names":false,"suffix":""},{"dropping-particle":"","family":"Kinanti","given":"Annisa","non-dropping-particle":"","parse-names":false,"suffix":""},{"dropping-particle":"","family":"Suhendra","given":"Maman","non-dropping-particle":"","parse-names":false,"suffix":""}],"container-title":"Talent Development &amp; Excellence","id":"ITEM-1","issue":"September","issued":{"date-parts":[["2020"]]},"page":"3203-3216","title":"The Impact of Transfer Pricing and Earning Management on Tax Avoidance","type":"article-journal","volume":"12"},"uris":["http://www.mendeley.com/documents/?uuid=4bd11170-a7da-4ea6-a508-ed51037de471"]}],"mendeley":{"formattedCitation":"(Irawan et al., 2020)","manualFormatting":"Irawan et al., (2020","plainTextFormattedCitation":"(Irawan et al., 2020)","previouslyFormattedCitation":"(Irawan et al., 2020)"},"properties":{"noteIndex":0},"schema":"https://github.com/citation-style-language/schema/raw/master/csl-citation.json"}</w:instrText>
      </w:r>
      <w:r w:rsidRPr="00C5133C">
        <w:rPr>
          <w:rFonts w:ascii="Cambria" w:hAnsi="Cambria"/>
          <w:sz w:val="22"/>
          <w:lang w:val="en-US"/>
        </w:rPr>
        <w:fldChar w:fldCharType="separate"/>
      </w:r>
      <w:r w:rsidRPr="00C5133C">
        <w:rPr>
          <w:rFonts w:ascii="Cambria" w:hAnsi="Cambria"/>
          <w:noProof/>
          <w:sz w:val="22"/>
          <w:lang w:val="en-US"/>
        </w:rPr>
        <w:t xml:space="preserve">Irawan </w:t>
      </w:r>
      <w:r w:rsidR="00BF2898" w:rsidRPr="00C5133C">
        <w:rPr>
          <w:rFonts w:ascii="Cambria" w:hAnsi="Cambria"/>
          <w:i/>
          <w:noProof/>
          <w:sz w:val="22"/>
          <w:lang w:val="en-US"/>
        </w:rPr>
        <w:t>et al.</w:t>
      </w:r>
      <w:r w:rsidRPr="00C5133C">
        <w:rPr>
          <w:rFonts w:ascii="Cambria" w:hAnsi="Cambria"/>
          <w:noProof/>
          <w:sz w:val="22"/>
          <w:lang w:val="en-US"/>
        </w:rPr>
        <w:t>, (2020</w:t>
      </w:r>
      <w:r w:rsidRPr="00C5133C">
        <w:rPr>
          <w:rFonts w:ascii="Cambria" w:hAnsi="Cambria"/>
          <w:sz w:val="22"/>
          <w:lang w:val="en-US"/>
        </w:rPr>
        <w:fldChar w:fldCharType="end"/>
      </w:r>
      <w:r w:rsidRPr="00C5133C">
        <w:rPr>
          <w:rFonts w:ascii="Cambria" w:hAnsi="Cambria"/>
          <w:sz w:val="22"/>
          <w:lang w:val="en-US"/>
        </w:rPr>
        <w:t xml:space="preserve">) yang menyimpulkan bahwa manajemen laba akrual memiliki pengaruh positif signifikan terhadap penghindaran pajak. Hasil ini juga tidak sejalan dengan penelitian yang dilakukan oleh </w:t>
      </w:r>
      <w:r w:rsidRPr="00C5133C">
        <w:rPr>
          <w:rFonts w:ascii="Cambria" w:hAnsi="Cambria"/>
          <w:sz w:val="22"/>
          <w:lang w:val="en-US"/>
        </w:rPr>
        <w:fldChar w:fldCharType="begin" w:fldLock="1"/>
      </w:r>
      <w:r w:rsidRPr="00C5133C">
        <w:rPr>
          <w:rFonts w:ascii="Cambria" w:hAnsi="Cambria"/>
          <w:sz w:val="22"/>
          <w:lang w:val="en-US"/>
        </w:rPr>
        <w:instrText>ADDIN CSL_CITATION {"citationItems":[{"id":"ITEM-1","itemData":{"DOI":"10.35829/econbank.v1i2.48","abstract":"The purpose of this study is knowing the effect of leverage, profitability, capital intensity, and earnings management on tax avoidance. The period of this study is 5 (five) years, from 2013 to 2017. The data used are secondary data. The population is mining sector companies listed on the Indonesia Stock Exchange from 2013 to 2017 with a total of 47 companies. The sample selection is determined by the purpose sampling method and the samples used are 11 companies with a total of 55 data. The data analysis method is multiple linear regression. The results show that profitability, capital intensity, and earnings management negatively affect tax avoidance. Leverage has no effect on tax avoidance.","author":[{"dropping-particle":"","family":"Rifai","given":"Ahmad","non-dropping-particle":"","parse-names":false,"suffix":""},{"dropping-particle":"","family":"Atiningsih","given":"Suci","non-dropping-particle":"","parse-names":false,"suffix":""}],"container-title":"ECONBANK: Journal of Economics and Banking","id":"ITEM-1","issue":"2","issued":{"date-parts":[["2019"]]},"page":"135-142","title":"Pengaruh Leverage, Profitabilitas, Capital Intensity, Manajemen Laba Terhadap Penghindaran Pajak","type":"article-journal","volume":"1"},"uris":["http://www.mendeley.com/documents/?uuid=dbf41dd0-9bd6-49ef-9070-154fb9510cc7"]}],"mendeley":{"formattedCitation":"(Rifai &amp; Atiningsih, 2019)","plainTextFormattedCitation":"(Rifai &amp; Atiningsih, 2019)","previouslyFormattedCitation":"(Rifai &amp; Atiningsih, 2019)"},"properties":{"noteIndex":0},"schema":"https://github.com/citation-style-language/schema/raw/master/csl-citation.json"}</w:instrText>
      </w:r>
      <w:r w:rsidRPr="00C5133C">
        <w:rPr>
          <w:rFonts w:ascii="Cambria" w:hAnsi="Cambria"/>
          <w:sz w:val="22"/>
          <w:lang w:val="en-US"/>
        </w:rPr>
        <w:fldChar w:fldCharType="separate"/>
      </w:r>
      <w:r w:rsidRPr="00C5133C">
        <w:rPr>
          <w:rFonts w:ascii="Cambria" w:hAnsi="Cambria"/>
          <w:noProof/>
          <w:sz w:val="22"/>
          <w:lang w:val="en-US"/>
        </w:rPr>
        <w:t>(Rifai &amp; Atiningsih, 2019)</w:t>
      </w:r>
      <w:r w:rsidRPr="00C5133C">
        <w:rPr>
          <w:rFonts w:ascii="Cambria" w:hAnsi="Cambria"/>
          <w:sz w:val="22"/>
          <w:lang w:val="en-US"/>
        </w:rPr>
        <w:fldChar w:fldCharType="end"/>
      </w:r>
      <w:r w:rsidRPr="00C5133C">
        <w:rPr>
          <w:rFonts w:ascii="Cambria" w:hAnsi="Cambria"/>
          <w:sz w:val="22"/>
          <w:lang w:val="en-US"/>
        </w:rPr>
        <w:t xml:space="preserve">, dan </w:t>
      </w:r>
      <w:r w:rsidRPr="00C5133C">
        <w:rPr>
          <w:rFonts w:ascii="Cambria" w:hAnsi="Cambria"/>
          <w:sz w:val="22"/>
          <w:lang w:val="en-US"/>
        </w:rPr>
        <w:fldChar w:fldCharType="begin" w:fldLock="1"/>
      </w:r>
      <w:r w:rsidRPr="00C5133C">
        <w:rPr>
          <w:rFonts w:ascii="Cambria" w:hAnsi="Cambria"/>
          <w:sz w:val="22"/>
          <w:lang w:val="en-US"/>
        </w:rPr>
        <w:instrText>ADDIN CSL_CITATION {"citationItems":[{"id":"ITEM-1","itemData":{"DOI":"10.21002/jaki.2013.11","ISSN":"18298494","abstract":"This study aims to examine the effect of accrual or real earnings management on the possibility of companies involved in tax shelter activities by using Surat Ketetapan Pajak Kurang Bayar (notice of tax deficiency) as a proxy to measure the tax shelter. By using a sample of companies who received Surat Ketetapan Pajak Kurang Bayar (notice of tax deficiency) in manufacturing industry and listed in Indonesia Stock Exchange during the period 2001-2010, this study finds that the company tends to favor accrual earnings management for decreasing possibility of aggressive tax shelter activities. This finding is not supporting the hyphotesis. Real earnings management via abnormal operating cash flows and abnormal discretionary production increasing possibility of aggressive tax shelter activities. Both findings are supporting the hypothesis. This study also finds that both practices of accrual earnings management or real earnings management have substitute effect in explaining the possibility of companies involved in tax shelter activities.","author":[{"dropping-particle":"","family":"Geraldina","given":"Ira","non-dropping-particle":"","parse-names":false,"suffix":""}],"container-title":"Jurnal Akuntansi dan Keuangan Indonesia","id":"ITEM-1","issue":"2","issued":{"date-parts":[["2013"]]},"page":"206-224","title":"Preferensi Manajemen Laba Akrual Atau Manajemen Laba Riil Dalam Aktivitas Tax Shelter","type":"article-journal","volume":"10"},"uris":["http://www.mendeley.com/documents/?uuid=be229e4d-cf54-46af-95d5-f9fbc7ffe47f"]}],"mendeley":{"formattedCitation":"(Geraldina, 2013)","manualFormatting":"Geraldina, (2013)","plainTextFormattedCitation":"(Geraldina, 2013)","previouslyFormattedCitation":"(Geraldina, 2013)"},"properties":{"noteIndex":0},"schema":"https://github.com/citation-style-language/schema/raw/master/csl-citation.json"}</w:instrText>
      </w:r>
      <w:r w:rsidRPr="00C5133C">
        <w:rPr>
          <w:rFonts w:ascii="Cambria" w:hAnsi="Cambria"/>
          <w:sz w:val="22"/>
          <w:lang w:val="en-US"/>
        </w:rPr>
        <w:fldChar w:fldCharType="separate"/>
      </w:r>
      <w:r w:rsidRPr="00C5133C">
        <w:rPr>
          <w:rFonts w:ascii="Cambria" w:hAnsi="Cambria"/>
          <w:noProof/>
          <w:sz w:val="22"/>
          <w:lang w:val="en-US"/>
        </w:rPr>
        <w:t>Geraldina, (2013)</w:t>
      </w:r>
      <w:r w:rsidRPr="00C5133C">
        <w:rPr>
          <w:rFonts w:ascii="Cambria" w:hAnsi="Cambria"/>
          <w:sz w:val="22"/>
          <w:lang w:val="en-US"/>
        </w:rPr>
        <w:fldChar w:fldCharType="end"/>
      </w:r>
      <w:r w:rsidRPr="00C5133C">
        <w:rPr>
          <w:rFonts w:ascii="Cambria" w:hAnsi="Cambria"/>
          <w:sz w:val="22"/>
          <w:lang w:val="en-US"/>
        </w:rPr>
        <w:t xml:space="preserve"> yang menyimpulkan bahwa manajemen laba akrual memiliki pengaruh negatif signifikan terhadap penghindaran pajak. Perbedaan hasil dengan penelitian-penelitian terdahulu dimungkinkan terjadi karena adanya perbedaan dalam pemilihan sektor industr</w:t>
      </w:r>
      <w:r w:rsidR="00FD600E" w:rsidRPr="00C5133C">
        <w:rPr>
          <w:rFonts w:ascii="Cambria" w:hAnsi="Cambria"/>
          <w:sz w:val="22"/>
          <w:lang w:val="en-US"/>
        </w:rPr>
        <w:t>i</w:t>
      </w:r>
      <w:r w:rsidRPr="00C5133C">
        <w:rPr>
          <w:rFonts w:ascii="Cambria" w:hAnsi="Cambria"/>
          <w:sz w:val="22"/>
          <w:lang w:val="en-US"/>
        </w:rPr>
        <w:t xml:space="preserve"> yang diteliti, perbedaan tahun pengamatan dan perbedaan dalam pemilihan proksi.</w:t>
      </w:r>
    </w:p>
    <w:p w14:paraId="291B6C6D" w14:textId="00EE3ACB" w:rsidR="00C374C8" w:rsidRPr="00C5133C" w:rsidRDefault="00C374C8" w:rsidP="00C5133C">
      <w:pPr>
        <w:spacing w:line="276" w:lineRule="auto"/>
        <w:rPr>
          <w:rFonts w:ascii="Cambria" w:hAnsi="Cambria"/>
          <w:sz w:val="22"/>
          <w:lang w:val="en-US"/>
        </w:rPr>
      </w:pPr>
      <w:r w:rsidRPr="00C5133C">
        <w:rPr>
          <w:rFonts w:ascii="Cambria" w:hAnsi="Cambria"/>
          <w:sz w:val="22"/>
          <w:lang w:val="en-US"/>
        </w:rPr>
        <w:t xml:space="preserve">Hasil pengujian hipotesis pada penelitian ini adalah manajemen laba akrual tidak berpengaruh signifikan terhadap penghindaran pajak. Salah satu hal yang dapat menyebabkan tidak signifikannya pengaruh manajemen laba akrual terhadap penghindaran pajak adalah adanya perbedaan motivasi yang mendorong dilakukannya </w:t>
      </w:r>
      <w:r w:rsidR="00FA0990" w:rsidRPr="00C5133C">
        <w:rPr>
          <w:rFonts w:ascii="Cambria" w:hAnsi="Cambria"/>
          <w:sz w:val="22"/>
          <w:lang w:val="en-US"/>
        </w:rPr>
        <w:t>praktik</w:t>
      </w:r>
      <w:r w:rsidRPr="00C5133C">
        <w:rPr>
          <w:rFonts w:ascii="Cambria" w:hAnsi="Cambria"/>
          <w:sz w:val="22"/>
          <w:lang w:val="en-US"/>
        </w:rPr>
        <w:t xml:space="preserve"> manajemen laba </w:t>
      </w:r>
      <w:r w:rsidR="00A54956" w:rsidRPr="00C5133C">
        <w:rPr>
          <w:rFonts w:ascii="Cambria" w:hAnsi="Cambria"/>
          <w:sz w:val="22"/>
          <w:lang w:val="en-US"/>
        </w:rPr>
        <w:t>akrual</w:t>
      </w:r>
      <w:r w:rsidRPr="00C5133C">
        <w:rPr>
          <w:rFonts w:ascii="Cambria" w:hAnsi="Cambria"/>
          <w:sz w:val="22"/>
          <w:lang w:val="en-US"/>
        </w:rPr>
        <w:t xml:space="preserve">. Sesuai dengan hasil analisis statistik deskriptif, rata-rata perusahaan pada sektor pertanian terindikasi melakukan </w:t>
      </w:r>
      <w:r w:rsidR="00FA0990" w:rsidRPr="00C5133C">
        <w:rPr>
          <w:rFonts w:ascii="Cambria" w:hAnsi="Cambria"/>
          <w:sz w:val="22"/>
          <w:lang w:val="en-US"/>
        </w:rPr>
        <w:t>praktik</w:t>
      </w:r>
      <w:r w:rsidRPr="00C5133C">
        <w:rPr>
          <w:rFonts w:ascii="Cambria" w:hAnsi="Cambria"/>
          <w:sz w:val="22"/>
          <w:lang w:val="en-US"/>
        </w:rPr>
        <w:t xml:space="preserve"> maksimalisasi laba, yang berdampak pada nilai rata-rata ETR yang tinggi. </w:t>
      </w:r>
    </w:p>
    <w:p w14:paraId="1C1B6D50" w14:textId="2E4B6D18" w:rsidR="00C374C8" w:rsidRPr="00C5133C" w:rsidRDefault="00FA0990" w:rsidP="00C5133C">
      <w:pPr>
        <w:spacing w:line="276" w:lineRule="auto"/>
        <w:rPr>
          <w:rFonts w:ascii="Cambria" w:hAnsi="Cambria" w:cs="Times New Roman"/>
          <w:sz w:val="22"/>
          <w:lang w:val="en-US"/>
        </w:rPr>
      </w:pPr>
      <w:r w:rsidRPr="00C5133C">
        <w:rPr>
          <w:rFonts w:ascii="Cambria" w:hAnsi="Cambria"/>
          <w:sz w:val="22"/>
          <w:lang w:val="en-US"/>
        </w:rPr>
        <w:lastRenderedPageBreak/>
        <w:t>Praktik</w:t>
      </w:r>
      <w:r w:rsidR="00C374C8" w:rsidRPr="00C5133C">
        <w:rPr>
          <w:rFonts w:ascii="Cambria" w:hAnsi="Cambria"/>
          <w:sz w:val="22"/>
          <w:lang w:val="en-US"/>
        </w:rPr>
        <w:t xml:space="preserve"> maksimalisasi laba dapat dijelaskan dengan teori agensi, dimana manajemen dapat termotivasi untuk mendahulukan kepentingan pribadinya dengan mengejar bonus yang didapat dari laba perusahaan yang makin besar. </w:t>
      </w:r>
      <w:r w:rsidR="00C374C8" w:rsidRPr="00C5133C">
        <w:rPr>
          <w:rFonts w:ascii="Cambria" w:hAnsi="Cambria"/>
          <w:sz w:val="22"/>
        </w:rPr>
        <w:t>Asumsi yang digunakan dalam teori agensi menyatakan bahwa agen bisa saja tidak melakukan apa yang diinginkan pemilik, karena dianggap memiliki motivasi dan rasio ekonomi yang berbeda dengan pemilik</w:t>
      </w:r>
      <w:r w:rsidR="00C374C8" w:rsidRPr="00C5133C">
        <w:rPr>
          <w:rFonts w:ascii="Cambria" w:hAnsi="Cambria" w:cs="Times New Roman"/>
          <w:sz w:val="22"/>
        </w:rPr>
        <w:t xml:space="preserve"> </w:t>
      </w:r>
      <w:r w:rsidR="00C374C8" w:rsidRPr="00C5133C">
        <w:rPr>
          <w:rFonts w:ascii="Cambria" w:hAnsi="Cambria" w:cs="Times New Roman"/>
          <w:sz w:val="22"/>
        </w:rPr>
        <w:fldChar w:fldCharType="begin" w:fldLock="1"/>
      </w:r>
      <w:r w:rsidR="00C374C8" w:rsidRPr="00C5133C">
        <w:rPr>
          <w:rFonts w:ascii="Cambria" w:hAnsi="Cambria" w:cs="Times New Roman"/>
          <w:sz w:val="22"/>
        </w:rPr>
        <w:instrText>ADDIN CSL_CITATION {"citationItems":[{"id":"ITEM-1","itemData":{"DOI":"10.32493/keberlanjutan.v2i1.y2017.p431-459","ISSN":"2528-5599","abstract":"AbstractThis research is aimed to provide empirical evident about relationship between leverage, loss carry forward and earnings management on tax avoidance. Using purposive sampling this research selected 264 firms that are listed in Indonesian Stock Exchange from 2013-2015 as samples. The result of multiple regression of panel data shows that there is significant relationship between leverage and earnings management on tax avoidance. Meanwhile, loss carry forward shows no significant relationship on tax avoidance. Keywords: leverage, loss carry forward, earnings management, tax avoidance","author":[{"dropping-particle":"","family":"Pajriyansyah","given":"Ridwan -","non-dropping-particle":"","parse-names":false,"suffix":""},{"dropping-particle":"","family":"Firmansyah","given":"Amrie -","non-dropping-particle":"","parse-names":false,"suffix":""}],"container-title":"Keberlanjutan","id":"ITEM-1","issue":"1","issued":{"date-parts":[["2017"]]},"page":"431","title":"Pengaruh Leverage, Kompensasi Rugi Fiskal Dan Manajemen Laba Terhadap Penghindaran Pajak","type":"article-journal","volume":"2"},"uris":["http://www.mendeley.com/documents/?uuid=79dde6cf-71c5-4f7f-8af3-6f1db3e66d65"]}],"mendeley":{"formattedCitation":"(Pajriyansyah &amp; Firmansyah, 2017)","plainTextFormattedCitation":"(Pajriyansyah &amp; Firmansyah, 2017)","previouslyFormattedCitation":"(Pajriyansyah &amp; Firmansyah, 2017)"},"properties":{"noteIndex":0},"schema":"https://github.com/citation-style-language/schema/raw/master/csl-citation.json"}</w:instrText>
      </w:r>
      <w:r w:rsidR="00C374C8" w:rsidRPr="00C5133C">
        <w:rPr>
          <w:rFonts w:ascii="Cambria" w:hAnsi="Cambria" w:cs="Times New Roman"/>
          <w:sz w:val="22"/>
        </w:rPr>
        <w:fldChar w:fldCharType="separate"/>
      </w:r>
      <w:r w:rsidR="00C374C8" w:rsidRPr="00C5133C">
        <w:rPr>
          <w:rFonts w:ascii="Cambria" w:hAnsi="Cambria" w:cs="Times New Roman"/>
          <w:noProof/>
          <w:sz w:val="22"/>
        </w:rPr>
        <w:t>(Pajriyansyah &amp; Firmansyah, 2017)</w:t>
      </w:r>
      <w:r w:rsidR="00C374C8" w:rsidRPr="00C5133C">
        <w:rPr>
          <w:rFonts w:ascii="Cambria" w:hAnsi="Cambria" w:cs="Times New Roman"/>
          <w:sz w:val="22"/>
        </w:rPr>
        <w:fldChar w:fldCharType="end"/>
      </w:r>
      <w:r w:rsidR="00C374C8" w:rsidRPr="00C5133C">
        <w:rPr>
          <w:rFonts w:ascii="Cambria" w:hAnsi="Cambria" w:cs="Times New Roman"/>
          <w:sz w:val="22"/>
          <w:lang w:val="en-US"/>
        </w:rPr>
        <w:t xml:space="preserve">. </w:t>
      </w:r>
    </w:p>
    <w:p w14:paraId="633D5620" w14:textId="2979B8F1" w:rsidR="00C374C8" w:rsidRDefault="00C374C8" w:rsidP="00C5133C">
      <w:pPr>
        <w:spacing w:line="276" w:lineRule="auto"/>
        <w:rPr>
          <w:rFonts w:ascii="Cambria" w:hAnsi="Cambria" w:cs="Times New Roman"/>
          <w:sz w:val="22"/>
          <w:lang w:val="en-US"/>
        </w:rPr>
      </w:pPr>
      <w:r w:rsidRPr="00C5133C">
        <w:rPr>
          <w:rFonts w:ascii="Cambria" w:hAnsi="Cambria" w:cs="Times New Roman"/>
          <w:sz w:val="22"/>
          <w:lang w:val="en-US"/>
        </w:rPr>
        <w:t xml:space="preserve">Selain motivasi pribadi </w:t>
      </w:r>
      <w:r w:rsidRPr="00C5133C">
        <w:rPr>
          <w:rFonts w:ascii="Cambria" w:hAnsi="Cambria" w:cs="Times New Roman"/>
          <w:i/>
          <w:sz w:val="22"/>
          <w:lang w:val="en-US"/>
        </w:rPr>
        <w:t>agent</w:t>
      </w:r>
      <w:r w:rsidRPr="00C5133C">
        <w:rPr>
          <w:rFonts w:ascii="Cambria" w:hAnsi="Cambria" w:cs="Times New Roman"/>
          <w:sz w:val="22"/>
          <w:lang w:val="en-US"/>
        </w:rPr>
        <w:t xml:space="preserve">, </w:t>
      </w:r>
      <w:r w:rsidR="00FA0990" w:rsidRPr="00C5133C">
        <w:rPr>
          <w:rFonts w:ascii="Cambria" w:hAnsi="Cambria" w:cs="Times New Roman"/>
          <w:sz w:val="22"/>
          <w:lang w:val="en-US"/>
        </w:rPr>
        <w:t>praktik</w:t>
      </w:r>
      <w:r w:rsidRPr="00C5133C">
        <w:rPr>
          <w:rFonts w:ascii="Cambria" w:hAnsi="Cambria" w:cs="Times New Roman"/>
          <w:sz w:val="22"/>
          <w:lang w:val="en-US"/>
        </w:rPr>
        <w:t xml:space="preserve"> maksimalisasi laba juga dapat dimotivasi oleh kepentingan </w:t>
      </w:r>
      <w:r w:rsidRPr="00C5133C">
        <w:rPr>
          <w:rFonts w:ascii="Cambria" w:hAnsi="Cambria" w:cs="Times New Roman"/>
          <w:i/>
          <w:sz w:val="22"/>
          <w:lang w:val="en-US"/>
        </w:rPr>
        <w:t xml:space="preserve">principal </w:t>
      </w:r>
      <w:r w:rsidRPr="00C5133C">
        <w:rPr>
          <w:rFonts w:ascii="Cambria" w:hAnsi="Cambria" w:cs="Times New Roman"/>
          <w:sz w:val="22"/>
          <w:lang w:val="en-US"/>
        </w:rPr>
        <w:t xml:space="preserve">yang menginginkan agar perusahaan memiliki performa keuangan yang baik, dan menghindari resiko pemeriksaan pajak yang digalakkan sebagai tindak lanjut program pengampunan pajak pada tahun 2016-2017, yang dapat menimbulkan biaya yang besar apabila perusahaan ditemukan terbukti melakukan pelanggaran aturan perpajakan. </w:t>
      </w:r>
      <w:r w:rsidR="00E23617" w:rsidRPr="00C5133C">
        <w:rPr>
          <w:rFonts w:ascii="Cambria" w:hAnsi="Cambria" w:cs="Times New Roman"/>
          <w:sz w:val="22"/>
          <w:lang w:val="en-US"/>
        </w:rPr>
        <w:t xml:space="preserve">Maraknya praktik maksimalisasi laba yang dilakukan oleh perusahaan pada sektor pertanian diduga </w:t>
      </w:r>
      <w:r w:rsidR="00D24F57" w:rsidRPr="00C5133C">
        <w:rPr>
          <w:rFonts w:ascii="Cambria" w:hAnsi="Cambria" w:cs="Times New Roman"/>
          <w:sz w:val="22"/>
          <w:lang w:val="en-US"/>
        </w:rPr>
        <w:t>terjadi karena manajemen berusaha untuk menjaga performa keuangan relatif stabil baik dalam masa panen maupun dalam masa tanam</w:t>
      </w:r>
      <w:r w:rsidR="000811FA" w:rsidRPr="00C5133C">
        <w:rPr>
          <w:rFonts w:ascii="Cambria" w:hAnsi="Cambria" w:cs="Times New Roman"/>
          <w:sz w:val="22"/>
          <w:lang w:val="en-US"/>
        </w:rPr>
        <w:t>, juga untuk berjaga-jaga dari faktor eksternal seperti pengaruh cuaca maupun kebakaran lahan</w:t>
      </w:r>
      <w:r w:rsidR="00D24F57" w:rsidRPr="00C5133C">
        <w:rPr>
          <w:rFonts w:ascii="Cambria" w:hAnsi="Cambria" w:cs="Times New Roman"/>
          <w:sz w:val="22"/>
          <w:lang w:val="en-US"/>
        </w:rPr>
        <w:t>.</w:t>
      </w:r>
    </w:p>
    <w:p w14:paraId="3DB8BE62" w14:textId="77777777" w:rsidR="00AA1D33" w:rsidRPr="00C5133C" w:rsidRDefault="00AA1D33" w:rsidP="00C5133C">
      <w:pPr>
        <w:spacing w:line="276" w:lineRule="auto"/>
        <w:rPr>
          <w:rFonts w:ascii="Cambria" w:hAnsi="Cambria"/>
          <w:sz w:val="22"/>
          <w:lang w:val="en-US"/>
        </w:rPr>
      </w:pPr>
    </w:p>
    <w:p w14:paraId="431DEF14" w14:textId="4C51A445" w:rsidR="00C374C8" w:rsidRPr="00C5133C" w:rsidRDefault="00C374C8" w:rsidP="00BF13BD">
      <w:pPr>
        <w:pStyle w:val="Heading3"/>
        <w:spacing w:after="200" w:line="276" w:lineRule="auto"/>
        <w:rPr>
          <w:rFonts w:ascii="Cambria" w:hAnsi="Cambria"/>
          <w:sz w:val="22"/>
          <w:szCs w:val="22"/>
          <w:lang w:val="en-US"/>
        </w:rPr>
      </w:pPr>
      <w:bookmarkStart w:id="28" w:name="_Toc84232441"/>
      <w:r w:rsidRPr="00C5133C">
        <w:rPr>
          <w:rFonts w:ascii="Cambria" w:hAnsi="Cambria"/>
          <w:sz w:val="22"/>
          <w:szCs w:val="22"/>
        </w:rPr>
        <w:t xml:space="preserve">Pengaruh Manajemen Laba </w:t>
      </w:r>
      <w:r w:rsidR="00BF2898" w:rsidRPr="00C5133C">
        <w:rPr>
          <w:rFonts w:ascii="Cambria" w:hAnsi="Cambria"/>
          <w:i/>
          <w:sz w:val="22"/>
          <w:szCs w:val="22"/>
        </w:rPr>
        <w:t>Real</w:t>
      </w:r>
      <w:r w:rsidRPr="00C5133C">
        <w:rPr>
          <w:rFonts w:ascii="Cambria" w:hAnsi="Cambria"/>
          <w:sz w:val="22"/>
          <w:szCs w:val="22"/>
        </w:rPr>
        <w:t xml:space="preserve"> Terhadap Penghindaran Pajak</w:t>
      </w:r>
      <w:bookmarkEnd w:id="28"/>
    </w:p>
    <w:p w14:paraId="6E69A9DB" w14:textId="353CD1F1" w:rsidR="00C374C8" w:rsidRPr="00C5133C" w:rsidRDefault="00C374C8" w:rsidP="00C5133C">
      <w:pPr>
        <w:spacing w:line="276" w:lineRule="auto"/>
        <w:rPr>
          <w:rFonts w:ascii="Cambria" w:hAnsi="Cambria"/>
          <w:sz w:val="22"/>
        </w:rPr>
      </w:pPr>
      <w:r w:rsidRPr="00C5133C">
        <w:rPr>
          <w:rFonts w:ascii="Cambria" w:hAnsi="Cambria"/>
          <w:sz w:val="22"/>
        </w:rPr>
        <w:t>Hasil pengujian menunjukkan manajemen laba melalui arus kas dan biaya produksi mempengaruhi penghindaran pajak secara negatif signifikan. Sebaliknya, manajemen laba melalui biaya diskr</w:t>
      </w:r>
      <w:r w:rsidR="00845514">
        <w:rPr>
          <w:rFonts w:ascii="Cambria" w:hAnsi="Cambria"/>
          <w:sz w:val="22"/>
        </w:rPr>
        <w:t>e</w:t>
      </w:r>
      <w:r w:rsidRPr="00C5133C">
        <w:rPr>
          <w:rFonts w:ascii="Cambria" w:hAnsi="Cambria"/>
          <w:sz w:val="22"/>
        </w:rPr>
        <w:t xml:space="preserve">sioner mempengaruhi penghindaran pajak secara positif signifikan. Hasil ini berbeda dengan </w:t>
      </w:r>
      <w:r w:rsidRPr="00C5133C">
        <w:rPr>
          <w:rFonts w:ascii="Cambria" w:hAnsi="Cambria"/>
          <w:sz w:val="22"/>
          <w:lang w:val="en-US"/>
        </w:rPr>
        <w:t xml:space="preserve">penelitian </w:t>
      </w:r>
      <w:r w:rsidRPr="00C5133C">
        <w:rPr>
          <w:rFonts w:ascii="Cambria" w:hAnsi="Cambria"/>
          <w:sz w:val="22"/>
        </w:rPr>
        <w:fldChar w:fldCharType="begin" w:fldLock="1"/>
      </w:r>
      <w:r w:rsidRPr="00C5133C">
        <w:rPr>
          <w:rFonts w:ascii="Cambria" w:hAnsi="Cambria"/>
          <w:sz w:val="22"/>
        </w:rPr>
        <w:instrText>ADDIN CSL_CITATION {"citationItems":[{"id":"ITEM-1","itemData":{"ISSN":"1869-0459","abstract":"Transfer Pricing has been deployed by most companies to optimize their after tax profit. On the other hands, earning management can also be used to achieve similar objective. This study aims to investigate the impact of transfer pricing, accrual earnings management, and real earning management on tax avoidance. To Test the hypotheses we used multiple linear regression models. The sample in this study was 63 manufacturing companies listed on the IDX with a research period of 2014-2017. The results show that transfer pricing has a significant negative effect on tax avoidance. It means companies do not use transfer pricing activities as a medium of tax avoidance. In contrast, accrual earning management has a significant positive effect on tax avoidance, meaning that earnings management through accrual activity is used by companies to carry out tax avoidance. Furthermore, real earning management has a significant negative effect on tax avoidance, meaning that the higher earnings management activities through real activities carried out by the company reduce the possibility of companies doing tax avoidance. ABSTRACT FROM AUTHOR","author":[{"dropping-particle":"","family":"Irawan","given":"Ferry","non-dropping-particle":"","parse-names":false,"suffix":""},{"dropping-particle":"","family":"Kinanti","given":"Annisa","non-dropping-particle":"","parse-names":false,"suffix":""},{"dropping-particle":"","family":"Suhendra","given":"Maman","non-dropping-particle":"","parse-names":false,"suffix":""}],"container-title":"Talent Development &amp; Excellence","id":"ITEM-1","issue":"September","issued":{"date-parts":[["2020"]]},"page":"3203-3216","title":"The Impact of Transfer Pricing and Earning Management on Tax Avoidance","type":"article-journal","volume":"12"},"uris":["http://www.mendeley.com/documents/?uuid=4bd11170-a7da-4ea6-a508-ed51037de471"]}],"mendeley":{"formattedCitation":"(Irawan et al., 2020)","manualFormatting":"Irawan et al., (2020)","plainTextFormattedCitation":"(Irawan et al., 2020)","previouslyFormattedCitation":"(Irawan et al., 2020)"},"properties":{"noteIndex":0},"schema":"https://github.com/citation-style-language/schema/raw/master/csl-citation.json"}</w:instrText>
      </w:r>
      <w:r w:rsidRPr="00C5133C">
        <w:rPr>
          <w:rFonts w:ascii="Cambria" w:hAnsi="Cambria"/>
          <w:sz w:val="22"/>
        </w:rPr>
        <w:fldChar w:fldCharType="separate"/>
      </w:r>
      <w:r w:rsidRPr="00C5133C">
        <w:rPr>
          <w:rFonts w:ascii="Cambria" w:hAnsi="Cambria"/>
          <w:noProof/>
          <w:sz w:val="22"/>
        </w:rPr>
        <w:t xml:space="preserve">Irawan </w:t>
      </w:r>
      <w:r w:rsidR="00BF2898" w:rsidRPr="00C5133C">
        <w:rPr>
          <w:rFonts w:ascii="Cambria" w:hAnsi="Cambria"/>
          <w:i/>
          <w:noProof/>
          <w:sz w:val="22"/>
        </w:rPr>
        <w:t>et al.</w:t>
      </w:r>
      <w:r w:rsidRPr="00C5133C">
        <w:rPr>
          <w:rFonts w:ascii="Cambria" w:hAnsi="Cambria"/>
          <w:noProof/>
          <w:sz w:val="22"/>
        </w:rPr>
        <w:t xml:space="preserve">, </w:t>
      </w:r>
      <w:r w:rsidRPr="00C5133C">
        <w:rPr>
          <w:rFonts w:ascii="Cambria" w:hAnsi="Cambria"/>
          <w:noProof/>
          <w:sz w:val="22"/>
          <w:lang w:val="en-US"/>
        </w:rPr>
        <w:t>(</w:t>
      </w:r>
      <w:r w:rsidRPr="00C5133C">
        <w:rPr>
          <w:rFonts w:ascii="Cambria" w:hAnsi="Cambria"/>
          <w:noProof/>
          <w:sz w:val="22"/>
        </w:rPr>
        <w:t>2020)</w:t>
      </w:r>
      <w:r w:rsidRPr="00C5133C">
        <w:rPr>
          <w:rFonts w:ascii="Cambria" w:hAnsi="Cambria"/>
          <w:sz w:val="22"/>
        </w:rPr>
        <w:fldChar w:fldCharType="end"/>
      </w:r>
      <w:r w:rsidRPr="00C5133C">
        <w:rPr>
          <w:rFonts w:ascii="Cambria" w:hAnsi="Cambria"/>
          <w:sz w:val="22"/>
          <w:lang w:val="en-US"/>
        </w:rPr>
        <w:t xml:space="preserve"> </w:t>
      </w:r>
      <w:r w:rsidRPr="00C5133C">
        <w:rPr>
          <w:rFonts w:ascii="Cambria" w:hAnsi="Cambria"/>
          <w:sz w:val="22"/>
        </w:rPr>
        <w:t xml:space="preserve">yang menyimpulkan bahwa manajemen laba melalui aktivitas </w:t>
      </w:r>
      <w:r w:rsidR="00BF2898" w:rsidRPr="00C5133C">
        <w:rPr>
          <w:rFonts w:ascii="Cambria" w:hAnsi="Cambria"/>
          <w:i/>
          <w:sz w:val="22"/>
        </w:rPr>
        <w:t>real</w:t>
      </w:r>
      <w:r w:rsidRPr="00C5133C">
        <w:rPr>
          <w:rFonts w:ascii="Cambria" w:hAnsi="Cambria"/>
          <w:sz w:val="22"/>
        </w:rPr>
        <w:t xml:space="preserve"> berpengaruh secara negatif signifikan terhadap penghindaran pajak.</w:t>
      </w:r>
    </w:p>
    <w:p w14:paraId="0DC1345B" w14:textId="71EEA576" w:rsidR="00C374C8" w:rsidRPr="00C5133C" w:rsidRDefault="00C374C8" w:rsidP="00C5133C">
      <w:pPr>
        <w:spacing w:line="276" w:lineRule="auto"/>
        <w:rPr>
          <w:rFonts w:ascii="Cambria" w:hAnsi="Cambria" w:cs="Times New Roman"/>
          <w:sz w:val="22"/>
          <w:lang w:val="en-US"/>
        </w:rPr>
      </w:pPr>
      <w:r w:rsidRPr="00C5133C">
        <w:rPr>
          <w:rFonts w:ascii="Cambria" w:hAnsi="Cambria"/>
          <w:sz w:val="22"/>
        </w:rPr>
        <w:t xml:space="preserve">Hasil ini juga berbeda dengan </w:t>
      </w:r>
      <w:r w:rsidRPr="00C5133C">
        <w:rPr>
          <w:rFonts w:ascii="Cambria" w:hAnsi="Cambria"/>
          <w:sz w:val="22"/>
        </w:rPr>
        <w:fldChar w:fldCharType="begin" w:fldLock="1"/>
      </w:r>
      <w:r w:rsidRPr="00C5133C">
        <w:rPr>
          <w:rFonts w:ascii="Cambria" w:hAnsi="Cambria"/>
          <w:sz w:val="22"/>
        </w:rPr>
        <w:instrText>ADDIN CSL_CITATION {"citationItems":[{"id":"ITEM-1","itemData":{"DOI":"10.32493/keberlanjutan.v2i1.y2017.p431-459","ISSN":"2528-5599","abstract":"AbstractThis research is aimed to provide empirical evident about relationship between leverage, loss carry forward and earnings management on tax avoidance. Using purposive sampling this research selected 264 firms that are listed in Indonesian Stock Exchange from 2013-2015 as samples. The result of multiple regression of panel data shows that there is significant relationship between leverage and earnings management on tax avoidance. Meanwhile, loss carry forward shows no significant relationship on tax avoidance. Keywords: leverage, loss carry forward, earnings management, tax avoidance","author":[{"dropping-particle":"","family":"Pajriyansyah","given":"Ridwan -","non-dropping-particle":"","parse-names":false,"suffix":""},{"dropping-particle":"","family":"Firmansyah","given":"Amrie -","non-dropping-particle":"","parse-names":false,"suffix":""}],"container-title":"Keberlanjutan","id":"ITEM-1","issue":"1","issued":{"date-parts":[["2017"]]},"page":"431","title":"Pengaruh Leverage, Kompensasi Rugi Fiskal Dan Manajemen Laba Terhadap Penghindaran Pajak","type":"article-journal","volume":"2"},"uris":["http://www.mendeley.com/documents/?uuid=79dde6cf-71c5-4f7f-8af3-6f1db3e66d65"]}],"mendeley":{"formattedCitation":"(Pajriyansyah &amp; Firmansyah, 2017)","manualFormatting":"Pajriyansyah &amp; Firmansyah, (2017)","plainTextFormattedCitation":"(Pajriyansyah &amp; Firmansyah, 2017)","previouslyFormattedCitation":"(Pajriyansyah &amp; Firmansyah, 2017)"},"properties":{"noteIndex":0},"schema":"https://github.com/citation-style-language/schema/raw/master/csl-citation.json"}</w:instrText>
      </w:r>
      <w:r w:rsidRPr="00C5133C">
        <w:rPr>
          <w:rFonts w:ascii="Cambria" w:hAnsi="Cambria"/>
          <w:sz w:val="22"/>
        </w:rPr>
        <w:fldChar w:fldCharType="separate"/>
      </w:r>
      <w:r w:rsidRPr="00C5133C">
        <w:rPr>
          <w:rFonts w:ascii="Cambria" w:hAnsi="Cambria"/>
          <w:noProof/>
          <w:sz w:val="22"/>
        </w:rPr>
        <w:t xml:space="preserve">Pajriyansyah &amp; Firmansyah, </w:t>
      </w:r>
      <w:r w:rsidRPr="00C5133C">
        <w:rPr>
          <w:rFonts w:ascii="Cambria" w:hAnsi="Cambria"/>
          <w:noProof/>
          <w:sz w:val="22"/>
          <w:lang w:val="en-US"/>
        </w:rPr>
        <w:t>(</w:t>
      </w:r>
      <w:r w:rsidRPr="00C5133C">
        <w:rPr>
          <w:rFonts w:ascii="Cambria" w:hAnsi="Cambria"/>
          <w:noProof/>
          <w:sz w:val="22"/>
        </w:rPr>
        <w:t>2017)</w:t>
      </w:r>
      <w:r w:rsidRPr="00C5133C">
        <w:rPr>
          <w:rFonts w:ascii="Cambria" w:hAnsi="Cambria"/>
          <w:sz w:val="22"/>
        </w:rPr>
        <w:fldChar w:fldCharType="end"/>
      </w:r>
      <w:r w:rsidRPr="00C5133C">
        <w:rPr>
          <w:rFonts w:ascii="Cambria" w:hAnsi="Cambria"/>
          <w:sz w:val="22"/>
          <w:lang w:val="en-US"/>
        </w:rPr>
        <w:t xml:space="preserve"> </w:t>
      </w:r>
      <w:r w:rsidRPr="00C5133C">
        <w:rPr>
          <w:rFonts w:ascii="Cambria" w:hAnsi="Cambria"/>
          <w:sz w:val="22"/>
        </w:rPr>
        <w:t xml:space="preserve">dan </w:t>
      </w:r>
      <w:r w:rsidRPr="00C5133C">
        <w:rPr>
          <w:rFonts w:ascii="Cambria" w:hAnsi="Cambria"/>
          <w:sz w:val="22"/>
        </w:rPr>
        <w:fldChar w:fldCharType="begin" w:fldLock="1"/>
      </w:r>
      <w:r w:rsidRPr="00C5133C">
        <w:rPr>
          <w:rFonts w:ascii="Cambria" w:hAnsi="Cambria"/>
          <w:sz w:val="22"/>
        </w:rPr>
        <w:instrText>ADDIN CSL_CITATION {"citationItems":[{"id":"ITEM-1","itemData":{"DOI":"10.21002/jaki.2013.11","ISSN":"18298494","abstract":"This study aims to examine the effect of accrual or real earnings management on the possibility of companies involved in tax shelter activities by using Surat Ketetapan Pajak Kurang Bayar (notice of tax deficiency) as a proxy to measure the tax shelter. By using a sample of companies who received Surat Ketetapan Pajak Kurang Bayar (notice of tax deficiency) in manufacturing industry and listed in Indonesia Stock Exchange during the period 2001-2010, this study finds that the company tends to favor accrual earnings management for decreasing possibility of aggressive tax shelter activities. This finding is not supporting the hyphotesis. Real earnings management via abnormal operating cash flows and abnormal discretionary production increasing possibility of aggressive tax shelter activities. Both findings are supporting the hypothesis. This study also finds that both practices of accrual earnings management or real earnings management have substitute effect in explaining the possibility of companies involved in tax shelter activities.","author":[{"dropping-particle":"","family":"Geraldina","given":"Ira","non-dropping-particle":"","parse-names":false,"suffix":""}],"container-title":"Jurnal Akuntansi dan Keuangan Indonesia","id":"ITEM-1","issue":"2","issued":{"date-parts":[["2013"]]},"page":"206-224","title":"Preferensi Manajemen Laba Akrual Atau Manajemen Laba Riil Dalam Aktivitas Tax Shelter","type":"article-journal","volume":"10"},"uris":["http://www.mendeley.com/documents/?uuid=be229e4d-cf54-46af-95d5-f9fbc7ffe47f"]}],"mendeley":{"formattedCitation":"(Geraldina, 2013)","manualFormatting":"Geraldina, (2013)","plainTextFormattedCitation":"(Geraldina, 2013)","previouslyFormattedCitation":"(Geraldina, 2013)"},"properties":{"noteIndex":0},"schema":"https://github.com/citation-style-language/schema/raw/master/csl-citation.json"}</w:instrText>
      </w:r>
      <w:r w:rsidRPr="00C5133C">
        <w:rPr>
          <w:rFonts w:ascii="Cambria" w:hAnsi="Cambria"/>
          <w:sz w:val="22"/>
        </w:rPr>
        <w:fldChar w:fldCharType="separate"/>
      </w:r>
      <w:r w:rsidRPr="00C5133C">
        <w:rPr>
          <w:rFonts w:ascii="Cambria" w:hAnsi="Cambria"/>
          <w:noProof/>
          <w:sz w:val="22"/>
        </w:rPr>
        <w:t xml:space="preserve">Geraldina, </w:t>
      </w:r>
      <w:r w:rsidRPr="00C5133C">
        <w:rPr>
          <w:rFonts w:ascii="Cambria" w:hAnsi="Cambria"/>
          <w:noProof/>
          <w:sz w:val="22"/>
          <w:lang w:val="en-US"/>
        </w:rPr>
        <w:t>(</w:t>
      </w:r>
      <w:r w:rsidRPr="00C5133C">
        <w:rPr>
          <w:rFonts w:ascii="Cambria" w:hAnsi="Cambria"/>
          <w:noProof/>
          <w:sz w:val="22"/>
        </w:rPr>
        <w:t>2013)</w:t>
      </w:r>
      <w:r w:rsidRPr="00C5133C">
        <w:rPr>
          <w:rFonts w:ascii="Cambria" w:hAnsi="Cambria"/>
          <w:sz w:val="22"/>
        </w:rPr>
        <w:fldChar w:fldCharType="end"/>
      </w:r>
      <w:r w:rsidRPr="00C5133C">
        <w:rPr>
          <w:rFonts w:ascii="Cambria" w:hAnsi="Cambria"/>
          <w:sz w:val="22"/>
          <w:lang w:val="en-US"/>
        </w:rPr>
        <w:t xml:space="preserve"> </w:t>
      </w:r>
      <w:r w:rsidRPr="00C5133C">
        <w:rPr>
          <w:rFonts w:ascii="Cambria" w:hAnsi="Cambria"/>
          <w:sz w:val="22"/>
        </w:rPr>
        <w:t>yang menyatakan bahwa manajemen laba melalui arus kas dan biaya produksi memiliki pengaruh positif signifikan terhadap penghindaran pajak. Namun di sisi lain, penelitian ini mengonfirmasi penelitian firmansyah (2017) dalam hal pengaruh manajemen laba melalui biaya diskresioner terhadap penghindaran pajak</w:t>
      </w:r>
      <w:r w:rsidRPr="00C5133C">
        <w:rPr>
          <w:rFonts w:ascii="Cambria" w:hAnsi="Cambria" w:cs="Times New Roman"/>
          <w:sz w:val="22"/>
          <w:lang w:val="en-US"/>
        </w:rPr>
        <w:t xml:space="preserve">. Beberapa perbedaan yang ada dimungkinkan terjadi karena perbedaan sektor industri yang dipilih, dimana penelitian terdahulu melakukan penelitian dengan objek pengamatan perusahaan-perusahaan pada sektor manufaktur pada periode yang berbeda. </w:t>
      </w:r>
    </w:p>
    <w:p w14:paraId="48024A0B" w14:textId="500CE821" w:rsidR="00C374C8" w:rsidRPr="00C5133C" w:rsidRDefault="00C374C8" w:rsidP="00C5133C">
      <w:pPr>
        <w:spacing w:line="276" w:lineRule="auto"/>
        <w:rPr>
          <w:rFonts w:ascii="Cambria" w:hAnsi="Cambria" w:cs="Times New Roman"/>
          <w:sz w:val="22"/>
          <w:lang w:val="en-US"/>
        </w:rPr>
      </w:pPr>
      <w:r w:rsidRPr="00C5133C">
        <w:rPr>
          <w:rFonts w:ascii="Cambria" w:hAnsi="Cambria" w:cs="Times New Roman"/>
          <w:sz w:val="22"/>
          <w:lang w:val="en-US"/>
        </w:rPr>
        <w:t xml:space="preserve">Menurut hasil pengolahan data yang dilakukan, keseluruhan perusahaan pada sektor pertanian terindikasi melakukan aktivitas manajemen laba melalui biaya produksi, dan terdapat satu perusahaan terindikasi melakukan manajemen laba arus kas. Maraknya </w:t>
      </w:r>
      <w:r w:rsidR="00FA0990" w:rsidRPr="00C5133C">
        <w:rPr>
          <w:rFonts w:ascii="Cambria" w:hAnsi="Cambria" w:cs="Times New Roman"/>
          <w:sz w:val="22"/>
          <w:lang w:val="en-US"/>
        </w:rPr>
        <w:t>praktik</w:t>
      </w:r>
      <w:r w:rsidRPr="00C5133C">
        <w:rPr>
          <w:rFonts w:ascii="Cambria" w:hAnsi="Cambria" w:cs="Times New Roman"/>
          <w:sz w:val="22"/>
          <w:lang w:val="en-US"/>
        </w:rPr>
        <w:t xml:space="preserve"> manajemen laba </w:t>
      </w:r>
      <w:r w:rsidR="00BF2898" w:rsidRPr="00C5133C">
        <w:rPr>
          <w:rFonts w:ascii="Cambria" w:hAnsi="Cambria" w:cs="Times New Roman"/>
          <w:i/>
          <w:sz w:val="22"/>
          <w:lang w:val="en-US"/>
        </w:rPr>
        <w:t>real</w:t>
      </w:r>
      <w:r w:rsidRPr="00C5133C">
        <w:rPr>
          <w:rFonts w:ascii="Cambria" w:hAnsi="Cambria" w:cs="Times New Roman"/>
          <w:sz w:val="22"/>
          <w:lang w:val="en-US"/>
        </w:rPr>
        <w:t xml:space="preserve"> diduga terjadi karena perlindungan investor di negara Indonesia yang masih lemah. </w:t>
      </w:r>
      <w:r w:rsidRPr="00C5133C">
        <w:rPr>
          <w:rFonts w:ascii="Cambria" w:hAnsi="Cambria" w:cs="Times New Roman"/>
          <w:sz w:val="22"/>
          <w:lang w:val="en-US"/>
        </w:rPr>
        <w:fldChar w:fldCharType="begin" w:fldLock="1"/>
      </w:r>
      <w:r w:rsidRPr="00C5133C">
        <w:rPr>
          <w:rFonts w:ascii="Cambria" w:hAnsi="Cambria" w:cs="Times New Roman"/>
          <w:sz w:val="22"/>
          <w:lang w:val="en-US"/>
        </w:rPr>
        <w:instrText>ADDIN CSL_CITATION {"citationItems":[{"id":"ITEM-1","itemData":{"DOI":"https://doi.org/10.1016/S0304-405X(03)00121-1","ISSN":"0304-405X","abstract":"This paper examines systematic differences in earnings management across 31 countries. We propose an explanation for these differences based on the notion that insiders, in an attempt to protect their private control benefits, use earnings management to conceal firm performance from outsiders. Thus, earnings management is expected to decrease in investor protection because strong protection limits insiders’ ability to acquire private control benefits, which reduces their incentives to mask firm performance. Our findings are consistent with this prediction and suggest an endogenous link between corporate governance and the quality of reported earnings.","author":[{"dropping-particle":"","family":"Leuz","given":"Christian","non-dropping-particle":"","parse-names":false,"suffix":""},{"dropping-particle":"","family":"Nanda","given":"Dhananjay","non-dropping-particle":"","parse-names":false,"suffix":""},{"dropping-particle":"","family":"Wysocki","given":"Peter D","non-dropping-particle":"","parse-names":false,"suffix":""}],"container-title":"Journal of Financial Economics","id":"ITEM-1","issue":"3","issued":{"date-parts":[["2003"]]},"page":"505-527","title":"Earnings management and investor protection: an international comparison","type":"article-journal","volume":"69"},"uris":["http://www.mendeley.com/documents/?uuid=a01ae2de-d772-4eca-8399-33b3569bffa4"]}],"mendeley":{"formattedCitation":"(Leuz et al., 2003)","manualFormatting":"Leuz et al., (2003)","plainTextFormattedCitation":"(Leuz et al., 2003)","previouslyFormattedCitation":"(Leuz et al., 2003)"},"properties":{"noteIndex":0},"schema":"https://github.com/citation-style-language/schema/raw/master/csl-citation.json"}</w:instrText>
      </w:r>
      <w:r w:rsidRPr="00C5133C">
        <w:rPr>
          <w:rFonts w:ascii="Cambria" w:hAnsi="Cambria" w:cs="Times New Roman"/>
          <w:sz w:val="22"/>
          <w:lang w:val="en-US"/>
        </w:rPr>
        <w:fldChar w:fldCharType="separate"/>
      </w:r>
      <w:r w:rsidRPr="00C5133C">
        <w:rPr>
          <w:rFonts w:ascii="Cambria" w:hAnsi="Cambria" w:cs="Times New Roman"/>
          <w:noProof/>
          <w:sz w:val="22"/>
          <w:lang w:val="en-US"/>
        </w:rPr>
        <w:t xml:space="preserve">Leuz </w:t>
      </w:r>
      <w:r w:rsidR="00BF2898" w:rsidRPr="00C5133C">
        <w:rPr>
          <w:rFonts w:ascii="Cambria" w:hAnsi="Cambria" w:cs="Times New Roman"/>
          <w:i/>
          <w:noProof/>
          <w:sz w:val="22"/>
          <w:lang w:val="en-US"/>
        </w:rPr>
        <w:t>et al.</w:t>
      </w:r>
      <w:r w:rsidRPr="00C5133C">
        <w:rPr>
          <w:rFonts w:ascii="Cambria" w:hAnsi="Cambria" w:cs="Times New Roman"/>
          <w:noProof/>
          <w:sz w:val="22"/>
          <w:lang w:val="en-US"/>
        </w:rPr>
        <w:t>, (2003)</w:t>
      </w:r>
      <w:r w:rsidRPr="00C5133C">
        <w:rPr>
          <w:rFonts w:ascii="Cambria" w:hAnsi="Cambria" w:cs="Times New Roman"/>
          <w:sz w:val="22"/>
          <w:lang w:val="en-US"/>
        </w:rPr>
        <w:fldChar w:fldCharType="end"/>
      </w:r>
      <w:r w:rsidRPr="00C5133C">
        <w:rPr>
          <w:rFonts w:ascii="Cambria" w:hAnsi="Cambria" w:cs="Times New Roman"/>
          <w:sz w:val="22"/>
          <w:lang w:val="en-US"/>
        </w:rPr>
        <w:t xml:space="preserve"> menyebut bahwa Indonesia termasuk ke dalam kelompok negara dengan perlindungan investor yang tergolong lemah, sehingga </w:t>
      </w:r>
      <w:r w:rsidR="00FA0990" w:rsidRPr="00C5133C">
        <w:rPr>
          <w:rFonts w:ascii="Cambria" w:hAnsi="Cambria" w:cs="Times New Roman"/>
          <w:sz w:val="22"/>
          <w:lang w:val="en-US"/>
        </w:rPr>
        <w:t>praktik</w:t>
      </w:r>
      <w:r w:rsidRPr="00C5133C">
        <w:rPr>
          <w:rFonts w:ascii="Cambria" w:hAnsi="Cambria" w:cs="Times New Roman"/>
          <w:sz w:val="22"/>
          <w:lang w:val="en-US"/>
        </w:rPr>
        <w:t xml:space="preserve"> manajemen laba masih sering terjadi.</w:t>
      </w:r>
    </w:p>
    <w:p w14:paraId="1ADF70AC" w14:textId="10E9FE44" w:rsidR="00C374C8" w:rsidRPr="00C5133C" w:rsidRDefault="00C374C8" w:rsidP="00C5133C">
      <w:pPr>
        <w:spacing w:line="276" w:lineRule="auto"/>
        <w:rPr>
          <w:rFonts w:ascii="Cambria" w:hAnsi="Cambria" w:cs="Times New Roman"/>
          <w:sz w:val="22"/>
          <w:lang w:val="en-US"/>
        </w:rPr>
      </w:pPr>
      <w:r w:rsidRPr="00C5133C">
        <w:rPr>
          <w:rFonts w:ascii="Cambria" w:hAnsi="Cambria" w:cs="Times New Roman"/>
          <w:sz w:val="22"/>
          <w:lang w:val="en-US"/>
        </w:rPr>
        <w:t xml:space="preserve">Namun, berdasarkan hasil uji-t, didapati bahwa manajemen laba </w:t>
      </w:r>
      <w:r w:rsidR="00BF2898" w:rsidRPr="00C5133C">
        <w:rPr>
          <w:rFonts w:ascii="Cambria" w:hAnsi="Cambria" w:cs="Times New Roman"/>
          <w:i/>
          <w:sz w:val="22"/>
          <w:lang w:val="en-US"/>
        </w:rPr>
        <w:t>real</w:t>
      </w:r>
      <w:r w:rsidRPr="00C5133C">
        <w:rPr>
          <w:rFonts w:ascii="Cambria" w:hAnsi="Cambria" w:cs="Times New Roman"/>
          <w:sz w:val="22"/>
          <w:lang w:val="en-US"/>
        </w:rPr>
        <w:t xml:space="preserve"> arus kas dan biaya produksi berpengaruh secara negatif signifikan terhadap penghindaran pajak. Hal ini dapat terjadi karena adanya </w:t>
      </w:r>
      <w:r w:rsidRPr="00C5133C">
        <w:rPr>
          <w:rFonts w:ascii="Cambria" w:hAnsi="Cambria" w:cs="Times New Roman"/>
          <w:i/>
          <w:sz w:val="22"/>
          <w:lang w:val="en-US"/>
        </w:rPr>
        <w:t>trade-off</w:t>
      </w:r>
      <w:r w:rsidRPr="00C5133C">
        <w:rPr>
          <w:rFonts w:ascii="Cambria" w:hAnsi="Cambria" w:cs="Times New Roman"/>
          <w:sz w:val="22"/>
          <w:lang w:val="en-US"/>
        </w:rPr>
        <w:t xml:space="preserve"> antara keputusan agresivitas pelaporan dan agresivitas pajak, dimana keduanya tidak dapat dilakukan secara bersamaan. Kesimpulan ini didukung dengan penelitian yang dilakukan oleh </w:t>
      </w:r>
      <w:r w:rsidRPr="00C5133C">
        <w:rPr>
          <w:rFonts w:ascii="Cambria" w:hAnsi="Cambria" w:cs="Times New Roman"/>
          <w:sz w:val="22"/>
          <w:lang w:val="en-US"/>
        </w:rPr>
        <w:fldChar w:fldCharType="begin" w:fldLock="1"/>
      </w:r>
      <w:r w:rsidRPr="00C5133C">
        <w:rPr>
          <w:rFonts w:ascii="Cambria" w:hAnsi="Cambria" w:cs="Times New Roman"/>
          <w:sz w:val="22"/>
          <w:lang w:val="en-US"/>
        </w:rPr>
        <w:instrText>ADDIN CSL_CITATION {"citationItems":[{"id":"ITEM-1","itemData":{"DOI":"https://doi.org/10.1016/S0165-4101(01)00022-2","ISSN":"0165-4101","abstract":"This paper traces the development of archival, microeconomic-based, empirical income tax research in accounting over the last 15 years. The paper details three major areas of research: (i) the coordination of tax and non-tax factors, (ii) the effects of taxes on asset prices, and (iii) the taxation of multijurisdictional (international and interstate) commerce. Methodological concerns of particular interest to this field also are discussed. The paper concludes with a discussion of possible directions for future research.","author":[{"dropping-particle":"","family":"Shackelford","given":"Douglas A","non-dropping-particle":"","parse-names":false,"suffix":""},{"dropping-particle":"","family":"Shevlin","given":"Terry","non-dropping-particle":"","parse-names":false,"suffix":""}],"container-title":"Journal of Accounting and Economics","id":"ITEM-1","issue":"1","issued":{"date-parts":[["2001"]]},"page":"321-387","title":"Empirical tax research in accounting","type":"article-journal","volume":"31"},"uris":["http://www.mendeley.com/documents/?uuid=f928cfa7-e428-4b2f-86a3-6b4965f1b414"]}],"mendeley":{"formattedCitation":"(Shackelford &amp; Shevlin, 2001)","manualFormatting":"Shackelford &amp; Shevlin, (2001)","plainTextFormattedCitation":"(Shackelford &amp; Shevlin, 2001)","previouslyFormattedCitation":"(Shackelford &amp; Shevlin, 2001)"},"properties":{"noteIndex":0},"schema":"https://github.com/citation-style-language/schema/raw/master/csl-citation.json"}</w:instrText>
      </w:r>
      <w:r w:rsidRPr="00C5133C">
        <w:rPr>
          <w:rFonts w:ascii="Cambria" w:hAnsi="Cambria" w:cs="Times New Roman"/>
          <w:sz w:val="22"/>
          <w:lang w:val="en-US"/>
        </w:rPr>
        <w:fldChar w:fldCharType="separate"/>
      </w:r>
      <w:r w:rsidRPr="00C5133C">
        <w:rPr>
          <w:rFonts w:ascii="Cambria" w:hAnsi="Cambria" w:cs="Times New Roman"/>
          <w:noProof/>
          <w:sz w:val="22"/>
          <w:lang w:val="en-US"/>
        </w:rPr>
        <w:t>Shackelford &amp; Shevlin, (2001)</w:t>
      </w:r>
      <w:r w:rsidRPr="00C5133C">
        <w:rPr>
          <w:rFonts w:ascii="Cambria" w:hAnsi="Cambria" w:cs="Times New Roman"/>
          <w:sz w:val="22"/>
          <w:lang w:val="en-US"/>
        </w:rPr>
        <w:fldChar w:fldCharType="end"/>
      </w:r>
      <w:r w:rsidRPr="00C5133C">
        <w:rPr>
          <w:rFonts w:ascii="Cambria" w:hAnsi="Cambria" w:cs="Times New Roman"/>
          <w:sz w:val="22"/>
          <w:lang w:val="en-US"/>
        </w:rPr>
        <w:t xml:space="preserve"> dan </w:t>
      </w:r>
      <w:r w:rsidRPr="00C5133C">
        <w:rPr>
          <w:rFonts w:ascii="Cambria" w:hAnsi="Cambria" w:cs="Times New Roman"/>
          <w:sz w:val="22"/>
          <w:lang w:val="en-US"/>
        </w:rPr>
        <w:fldChar w:fldCharType="begin" w:fldLock="1"/>
      </w:r>
      <w:r w:rsidRPr="00C5133C">
        <w:rPr>
          <w:rFonts w:ascii="Cambria" w:hAnsi="Cambria" w:cs="Times New Roman"/>
          <w:sz w:val="22"/>
          <w:lang w:val="en-US"/>
        </w:rPr>
        <w:instrText>ADDIN CSL_CITATION {"citationItems":[{"id":"ITEM-1","itemData":{"DOI":"10.2139/ssrn.347420","ISSN":"1556-5068","abstract":"This paper examines the extent, if any, to which firms pay additional income taxes on allegedly fraudulent earnings. Our sample consists of firms that restated their financial statements in conjunction with SEC allegations of accounting fraud during the years 1996 to 2002. By examining firms that were accused of fraud by the SEC we obtain a relatively clean sample of earnings overstatements and avoid having to rely on models of earnings management. By further focusing on restatements, we are able to estimate how much income tax was paid on the overstated earnings.  The estimates in this paper represent the most direct evidence to date that firms are willing to sacrifice substantial cash to inflate their accounting earnings. Our detailed analysis of a sample of firms admitting to large earnings overstatements indicates that the mean firm sacrificed eleven cents in additional income taxes per dollar of inflated pre-tax earnings. In aggregate, the firms in our sample paid $320 million in taxes on overstated earnings of about $3.36 billion. These results illustrate the stark trade-off faced by firms and managers contemplating earnings manipulation - the choice between (non-cash) accounting earnings and (cash) taxes.","author":[{"dropping-particle":"","family":"Erickson","given":"Merle","non-dropping-particle":"","parse-names":false,"suffix":""},{"dropping-particle":"","family":"Hanlon","given":"Michelle","non-dropping-particle":"","parse-names":false,"suffix":""},{"dropping-particle":"","family":"Maydew","given":"Edward L.","non-dropping-particle":"","parse-names":false,"suffix":""}],"container-title":"SSRN Electronic Journal","id":"ITEM-1","issued":{"date-parts":[["2005"]]},"title":"How Much Will Firms Pay for Earnings That Do Not Exist? Evidence of Taxes Paid on Allegedly Fraudulent Earnings","type":"article-journal"},"uris":["http://www.mendeley.com/documents/?uuid=f97026aa-2e75-4667-a32d-cb26147bc7bc"]}],"mendeley":{"formattedCitation":"(Erickson et al., 2005)","manualFormatting":"Erickson et al., (2005)","plainTextFormattedCitation":"(Erickson et al., 2005)","previouslyFormattedCitation":"(Erickson et al., 2005)"},"properties":{"noteIndex":0},"schema":"https://github.com/citation-style-language/schema/raw/master/csl-citation.json"}</w:instrText>
      </w:r>
      <w:r w:rsidRPr="00C5133C">
        <w:rPr>
          <w:rFonts w:ascii="Cambria" w:hAnsi="Cambria" w:cs="Times New Roman"/>
          <w:sz w:val="22"/>
          <w:lang w:val="en-US"/>
        </w:rPr>
        <w:fldChar w:fldCharType="separate"/>
      </w:r>
      <w:r w:rsidRPr="00C5133C">
        <w:rPr>
          <w:rFonts w:ascii="Cambria" w:hAnsi="Cambria" w:cs="Times New Roman"/>
          <w:noProof/>
          <w:sz w:val="22"/>
          <w:lang w:val="en-US"/>
        </w:rPr>
        <w:t xml:space="preserve">Erickson </w:t>
      </w:r>
      <w:r w:rsidR="00BF2898" w:rsidRPr="00C5133C">
        <w:rPr>
          <w:rFonts w:ascii="Cambria" w:hAnsi="Cambria" w:cs="Times New Roman"/>
          <w:i/>
          <w:noProof/>
          <w:sz w:val="22"/>
          <w:lang w:val="en-US"/>
        </w:rPr>
        <w:t>et al.</w:t>
      </w:r>
      <w:r w:rsidRPr="00C5133C">
        <w:rPr>
          <w:rFonts w:ascii="Cambria" w:hAnsi="Cambria" w:cs="Times New Roman"/>
          <w:noProof/>
          <w:sz w:val="22"/>
          <w:lang w:val="en-US"/>
        </w:rPr>
        <w:t>, (2005)</w:t>
      </w:r>
      <w:r w:rsidRPr="00C5133C">
        <w:rPr>
          <w:rFonts w:ascii="Cambria" w:hAnsi="Cambria" w:cs="Times New Roman"/>
          <w:sz w:val="22"/>
          <w:lang w:val="en-US"/>
        </w:rPr>
        <w:fldChar w:fldCharType="end"/>
      </w:r>
      <w:r w:rsidRPr="00C5133C">
        <w:rPr>
          <w:rFonts w:ascii="Cambria" w:hAnsi="Cambria" w:cs="Times New Roman"/>
          <w:sz w:val="22"/>
          <w:lang w:val="en-US"/>
        </w:rPr>
        <w:t>.</w:t>
      </w:r>
    </w:p>
    <w:p w14:paraId="08F246D0" w14:textId="6A592CAF" w:rsidR="00C374C8" w:rsidRDefault="00C374C8" w:rsidP="00C5133C">
      <w:pPr>
        <w:spacing w:line="276" w:lineRule="auto"/>
        <w:rPr>
          <w:rFonts w:ascii="Cambria" w:hAnsi="Cambria" w:cs="Times New Roman"/>
          <w:sz w:val="22"/>
          <w:lang w:val="en-US"/>
        </w:rPr>
      </w:pPr>
      <w:r w:rsidRPr="00C5133C">
        <w:rPr>
          <w:rFonts w:ascii="Cambria" w:hAnsi="Cambria" w:cs="Times New Roman"/>
          <w:sz w:val="22"/>
          <w:lang w:val="en-US"/>
        </w:rPr>
        <w:t xml:space="preserve">Di sisi lain, manajemen laba melalui biaya diskresioner menunjukkan pengaruh positif signifikan terhadap penghindaran pajak. Salah satu penjelasan yang mungkin dari fenomena ini adalah bahwa </w:t>
      </w:r>
      <w:r w:rsidR="00FA0990" w:rsidRPr="00C5133C">
        <w:rPr>
          <w:rFonts w:ascii="Cambria" w:hAnsi="Cambria" w:cs="Times New Roman"/>
          <w:sz w:val="22"/>
          <w:lang w:val="en-US"/>
        </w:rPr>
        <w:t>praktik</w:t>
      </w:r>
      <w:r w:rsidRPr="00C5133C">
        <w:rPr>
          <w:rFonts w:ascii="Cambria" w:hAnsi="Cambria" w:cs="Times New Roman"/>
          <w:sz w:val="22"/>
          <w:lang w:val="en-US"/>
        </w:rPr>
        <w:t xml:space="preserve"> manajemen laba melalui biaya diskresioner lebih mudah dilakukan oleh perusahaan dibandingkan dengan dua </w:t>
      </w:r>
      <w:r w:rsidR="00FA0990" w:rsidRPr="00C5133C">
        <w:rPr>
          <w:rFonts w:ascii="Cambria" w:hAnsi="Cambria" w:cs="Times New Roman"/>
          <w:sz w:val="22"/>
          <w:lang w:val="en-US"/>
        </w:rPr>
        <w:t>praktik</w:t>
      </w:r>
      <w:r w:rsidRPr="00C5133C">
        <w:rPr>
          <w:rFonts w:ascii="Cambria" w:hAnsi="Cambria" w:cs="Times New Roman"/>
          <w:sz w:val="22"/>
          <w:lang w:val="en-US"/>
        </w:rPr>
        <w:t xml:space="preserve"> manajemen laba </w:t>
      </w:r>
      <w:r w:rsidR="00BF2898" w:rsidRPr="00C5133C">
        <w:rPr>
          <w:rFonts w:ascii="Cambria" w:hAnsi="Cambria" w:cs="Times New Roman"/>
          <w:i/>
          <w:sz w:val="22"/>
          <w:lang w:val="en-US"/>
        </w:rPr>
        <w:t>real</w:t>
      </w:r>
      <w:r w:rsidRPr="00C5133C">
        <w:rPr>
          <w:rFonts w:ascii="Cambria" w:hAnsi="Cambria" w:cs="Times New Roman"/>
          <w:sz w:val="22"/>
          <w:lang w:val="en-US"/>
        </w:rPr>
        <w:t xml:space="preserve"> lainnya. Perusahaan dapat dengan mudah menyesuaikan biaya-biaya diskresioner seperti biaya perjalanan dinas atau biaya litbang untuk memanipulasi laba.</w:t>
      </w:r>
      <w:r w:rsidR="00D24F57" w:rsidRPr="00C5133C">
        <w:rPr>
          <w:rFonts w:ascii="Cambria" w:hAnsi="Cambria" w:cs="Times New Roman"/>
          <w:sz w:val="22"/>
          <w:lang w:val="en-US"/>
        </w:rPr>
        <w:t xml:space="preserve"> Hal ini dapat diamati pada laporan keuangan perusahaan-</w:t>
      </w:r>
      <w:r w:rsidR="00D24F57" w:rsidRPr="00C5133C">
        <w:rPr>
          <w:rFonts w:ascii="Cambria" w:hAnsi="Cambria" w:cs="Times New Roman"/>
          <w:sz w:val="22"/>
          <w:lang w:val="en-US"/>
        </w:rPr>
        <w:lastRenderedPageBreak/>
        <w:t>perusahaan pada sektor pertanian yang mencatat biaya-biaya yang tidak terkait dengan proses produksi dalam jumlah yang relatif besar</w:t>
      </w:r>
      <w:r w:rsidR="009D024B" w:rsidRPr="00C5133C">
        <w:rPr>
          <w:rFonts w:ascii="Cambria" w:hAnsi="Cambria" w:cs="Times New Roman"/>
          <w:sz w:val="22"/>
          <w:lang w:val="en-US"/>
        </w:rPr>
        <w:t xml:space="preserve"> misalnya biaya perjalanan dinas dan biaya representasi</w:t>
      </w:r>
      <w:r w:rsidR="00D24F57" w:rsidRPr="00C5133C">
        <w:rPr>
          <w:rFonts w:ascii="Cambria" w:hAnsi="Cambria" w:cs="Times New Roman"/>
          <w:sz w:val="22"/>
          <w:lang w:val="en-US"/>
        </w:rPr>
        <w:t>.</w:t>
      </w:r>
    </w:p>
    <w:p w14:paraId="7A14260A" w14:textId="77777777" w:rsidR="00BF13BD" w:rsidRPr="00C5133C" w:rsidRDefault="00BF13BD" w:rsidP="00C5133C">
      <w:pPr>
        <w:spacing w:line="276" w:lineRule="auto"/>
        <w:rPr>
          <w:rFonts w:ascii="Cambria" w:hAnsi="Cambria" w:cs="Times New Roman"/>
          <w:sz w:val="22"/>
          <w:lang w:val="en-US"/>
        </w:rPr>
      </w:pPr>
    </w:p>
    <w:p w14:paraId="5193423F" w14:textId="4D5F33A9" w:rsidR="00C374C8" w:rsidRPr="00C5133C" w:rsidRDefault="00C374C8" w:rsidP="00BF13BD">
      <w:pPr>
        <w:pStyle w:val="Heading3"/>
        <w:spacing w:after="200" w:line="276" w:lineRule="auto"/>
        <w:rPr>
          <w:rFonts w:ascii="Cambria" w:hAnsi="Cambria" w:cs="Times New Roman"/>
          <w:sz w:val="22"/>
          <w:szCs w:val="22"/>
          <w:lang w:val="en-US"/>
        </w:rPr>
      </w:pPr>
      <w:bookmarkStart w:id="29" w:name="_Toc84232442"/>
      <w:r w:rsidRPr="00C5133C">
        <w:rPr>
          <w:rFonts w:ascii="Cambria" w:hAnsi="Cambria"/>
          <w:sz w:val="22"/>
          <w:szCs w:val="22"/>
        </w:rPr>
        <w:t xml:space="preserve">Pengaruh </w:t>
      </w:r>
      <w:r w:rsidRPr="00C5133C">
        <w:rPr>
          <w:rFonts w:ascii="Cambria" w:hAnsi="Cambria"/>
          <w:i/>
          <w:sz w:val="22"/>
          <w:szCs w:val="22"/>
        </w:rPr>
        <w:t>Transfer Pricing</w:t>
      </w:r>
      <w:r w:rsidRPr="00C5133C">
        <w:rPr>
          <w:rFonts w:ascii="Cambria" w:hAnsi="Cambria"/>
          <w:sz w:val="22"/>
          <w:szCs w:val="22"/>
        </w:rPr>
        <w:t xml:space="preserve"> Terhadap Penghindaran Pajak</w:t>
      </w:r>
      <w:bookmarkEnd w:id="29"/>
    </w:p>
    <w:p w14:paraId="19615CEE" w14:textId="6B746267" w:rsidR="00C374C8" w:rsidRPr="00C5133C" w:rsidRDefault="00C374C8" w:rsidP="00C5133C">
      <w:pPr>
        <w:spacing w:line="276" w:lineRule="auto"/>
        <w:rPr>
          <w:rFonts w:ascii="Cambria" w:hAnsi="Cambria"/>
          <w:sz w:val="22"/>
          <w:lang w:val="en-US"/>
        </w:rPr>
      </w:pPr>
      <w:r w:rsidRPr="00C5133C">
        <w:rPr>
          <w:rFonts w:ascii="Cambria" w:hAnsi="Cambria"/>
          <w:sz w:val="22"/>
          <w:lang w:val="en-US"/>
        </w:rPr>
        <w:t xml:space="preserve">Hasil uji-t menggambarkan bahwa variabel </w:t>
      </w:r>
      <w:r w:rsidRPr="00C5133C">
        <w:rPr>
          <w:rFonts w:ascii="Cambria" w:hAnsi="Cambria"/>
          <w:i/>
          <w:iCs/>
          <w:sz w:val="22"/>
          <w:lang w:val="en-US"/>
        </w:rPr>
        <w:t>transfer pricing</w:t>
      </w:r>
      <w:r w:rsidRPr="00C5133C">
        <w:rPr>
          <w:rFonts w:ascii="Cambria" w:hAnsi="Cambria"/>
          <w:sz w:val="22"/>
          <w:lang w:val="en-US"/>
        </w:rPr>
        <w:t xml:space="preserve"> memiliki pengaruh positif signifikan terhadap variabel penghindaran pajak, hasil ini sejalan dengan hipotesis yang dibangun. Hasil ini tidak sejalan dengan penelitian yang dilakukan oleh </w:t>
      </w:r>
      <w:r w:rsidRPr="00C5133C">
        <w:rPr>
          <w:rFonts w:ascii="Cambria" w:hAnsi="Cambria"/>
          <w:sz w:val="22"/>
          <w:lang w:val="en-US"/>
        </w:rPr>
        <w:fldChar w:fldCharType="begin" w:fldLock="1"/>
      </w:r>
      <w:r w:rsidRPr="00C5133C">
        <w:rPr>
          <w:rFonts w:ascii="Cambria" w:hAnsi="Cambria"/>
          <w:sz w:val="22"/>
          <w:lang w:val="en-US"/>
        </w:rPr>
        <w:instrText>ADDIN CSL_CITATION {"citationItems":[{"id":"ITEM-1","itemData":{"ISSN":"1869-0459","abstract":"Transfer Pricing has been deployed by most companies to optimize their after tax profit. On the other hands, earning management can also be used to achieve similar objective. This study aims to investigate the impact of transfer pricing, accrual earnings management, and real earning management on tax avoidance. To Test the hypotheses we used multiple linear regression models. The sample in this study was 63 manufacturing companies listed on the IDX with a research period of 2014-2017. The results show that transfer pricing has a significant negative effect on tax avoidance. It means companies do not use transfer pricing activities as a medium of tax avoidance. In contrast, accrual earning management has a significant positive effect on tax avoidance, meaning that earnings management through accrual activity is used by companies to carry out tax avoidance. Furthermore, real earning management has a significant negative effect on tax avoidance, meaning that the higher earnings management activities through real activities carried out by the company reduce the possibility of companies doing tax avoidance. ABSTRACT FROM AUTHOR","author":[{"dropping-particle":"","family":"Irawan","given":"Ferry","non-dropping-particle":"","parse-names":false,"suffix":""},{"dropping-particle":"","family":"Kinanti","given":"Annisa","non-dropping-particle":"","parse-names":false,"suffix":""},{"dropping-particle":"","family":"Suhendra","given":"Maman","non-dropping-particle":"","parse-names":false,"suffix":""}],"container-title":"Talent Development &amp; Excellence","id":"ITEM-1","issue":"September","issued":{"date-parts":[["2020"]]},"page":"3203-3216","title":"The Impact of Transfer Pricing and Earning Management on Tax Avoidance","type":"article-journal","volume":"12"},"uris":["http://www.mendeley.com/documents/?uuid=4bd11170-a7da-4ea6-a508-ed51037de471"]}],"mendeley":{"formattedCitation":"(Irawan et al., 2020)","manualFormatting":"Irawan et al., (2020)","plainTextFormattedCitation":"(Irawan et al., 2020)","previouslyFormattedCitation":"(Irawan et al., 2020)"},"properties":{"noteIndex":0},"schema":"https://github.com/citation-style-language/schema/raw/master/csl-citation.json"}</w:instrText>
      </w:r>
      <w:r w:rsidRPr="00C5133C">
        <w:rPr>
          <w:rFonts w:ascii="Cambria" w:hAnsi="Cambria"/>
          <w:sz w:val="22"/>
          <w:lang w:val="en-US"/>
        </w:rPr>
        <w:fldChar w:fldCharType="separate"/>
      </w:r>
      <w:r w:rsidRPr="00C5133C">
        <w:rPr>
          <w:rFonts w:ascii="Cambria" w:hAnsi="Cambria"/>
          <w:noProof/>
          <w:sz w:val="22"/>
          <w:lang w:val="en-US"/>
        </w:rPr>
        <w:t xml:space="preserve">Irawan </w:t>
      </w:r>
      <w:r w:rsidR="00BF2898" w:rsidRPr="00C5133C">
        <w:rPr>
          <w:rFonts w:ascii="Cambria" w:hAnsi="Cambria"/>
          <w:i/>
          <w:noProof/>
          <w:sz w:val="22"/>
          <w:lang w:val="en-US"/>
        </w:rPr>
        <w:t>et al.</w:t>
      </w:r>
      <w:r w:rsidRPr="00C5133C">
        <w:rPr>
          <w:rFonts w:ascii="Cambria" w:hAnsi="Cambria"/>
          <w:noProof/>
          <w:sz w:val="22"/>
          <w:lang w:val="en-US"/>
        </w:rPr>
        <w:t>, (2020)</w:t>
      </w:r>
      <w:r w:rsidRPr="00C5133C">
        <w:rPr>
          <w:rFonts w:ascii="Cambria" w:hAnsi="Cambria"/>
          <w:sz w:val="22"/>
          <w:lang w:val="en-US"/>
        </w:rPr>
        <w:fldChar w:fldCharType="end"/>
      </w:r>
      <w:r w:rsidRPr="00C5133C">
        <w:rPr>
          <w:rFonts w:ascii="Cambria" w:hAnsi="Cambria"/>
          <w:sz w:val="22"/>
          <w:lang w:val="en-US"/>
        </w:rPr>
        <w:t xml:space="preserve"> yang menyimpulkan bahwa </w:t>
      </w:r>
      <w:r w:rsidRPr="00C5133C">
        <w:rPr>
          <w:rFonts w:ascii="Cambria" w:hAnsi="Cambria"/>
          <w:i/>
          <w:iCs/>
          <w:sz w:val="22"/>
          <w:lang w:val="en-US"/>
        </w:rPr>
        <w:t>transfer pricing</w:t>
      </w:r>
      <w:r w:rsidRPr="00C5133C">
        <w:rPr>
          <w:rFonts w:ascii="Cambria" w:hAnsi="Cambria"/>
          <w:sz w:val="22"/>
          <w:lang w:val="en-US"/>
        </w:rPr>
        <w:t xml:space="preserve"> berdampak negatif signifikan terhadap penghindaran pajak, dan penelitian </w:t>
      </w:r>
      <w:r w:rsidRPr="00C5133C">
        <w:rPr>
          <w:rFonts w:ascii="Cambria" w:hAnsi="Cambria"/>
          <w:sz w:val="22"/>
          <w:lang w:val="en-US"/>
        </w:rPr>
        <w:fldChar w:fldCharType="begin" w:fldLock="1"/>
      </w:r>
      <w:r w:rsidRPr="00C5133C">
        <w:rPr>
          <w:rFonts w:ascii="Cambria" w:hAnsi="Cambria"/>
          <w:sz w:val="22"/>
          <w:lang w:val="en-US"/>
        </w:rPr>
        <w:instrText>ADDIN CSL_CITATION {"citationItems":[{"id":"ITEM-1","itemData":{"DOI":"10.17509/jpak.v6i2.15916","ISSN":"2337-408X","abstract":"AbstractThis study aims to examine the effect of transfer pricing on tax avoidance. The independent variable used in this study is transfer pricing. While the dependent variable used in this study is tax avoidance, which is measured using the effective tax rate (GAAP-ETR). The population in this study amounted to 15 multinational manufacturing sector companies listed on the Indonesia Stock Exchange (IDX) during the 2014-2017 period. Determination of research samples using purposive sampling method and obtained a sample of 9 multinational manufacturing companies based on certain criteria. The results of the study show that transfer pricing has an effect but not significantly on tax avoidance. Key Word. transfer pricing; tax avodiance AbstrakPenelitian ini bertujuan untuk menguji pengaruh transfer pricing terhadap penghindaran pajak (tax avoidance). Variabel independen yang digunakan dalam penelitian ini adalah transfer pricing. Sedangkan variabel dependen yang digunakan dalam penelitian ini adalah penghindaran pajak (tax avoidance) yang diukur menggunakan effective tax rate (GAAP-ETR). Populasi dalam penelitian ini berjumlah 15 perusahaan sektor manufaktur multinasional yang terdaftar di Bursa Efek Indonesia (BEI) selama periode 2014-2017. Penentuan sampel penelitian menggunakan metode purposive sampling dan memperoleh sampel sebanyak 9 perusahaan manufaktur multinasional berdasarkan kriteria tertentu. Hasil penelitian menunjukan bahwa transfer pricing berpengaruh tetapi tidak signifikan terhadap penghindaran pajak (tax avoidance). Kata Kunci. transfer pricing; penghindaran pajak","author":[{"dropping-particle":"","family":"Panjalusman","given":"Paskalis A","non-dropping-particle":"","parse-names":false,"suffix":""},{"dropping-particle":"","family":"Nugraha","given":"Erik","non-dropping-particle":"","parse-names":false,"suffix":""},{"dropping-particle":"","family":"Setiawan","given":"Audita","non-dropping-particle":"","parse-names":false,"suffix":""}],"container-title":"Jurnal Pendidikan Akuntansi &amp; Keuangan","id":"ITEM-1","issue":"2","issued":{"date-parts":[["2018"]]},"page":"105","title":"Pengaruh Transfer Pricing Terhadap Penghindaran Pajak","type":"article-journal","volume":"6"},"uris":["http://www.mendeley.com/documents/?uuid=d3fbc370-fadd-4ff1-b20c-cc722e2365cf"]}],"mendeley":{"formattedCitation":"(Panjalusman et al., 2018)","manualFormatting":"Panjalusman et al., (2018)","plainTextFormattedCitation":"(Panjalusman et al., 2018)","previouslyFormattedCitation":"(Panjalusman et al., 2018)"},"properties":{"noteIndex":0},"schema":"https://github.com/citation-style-language/schema/raw/master/csl-citation.json"}</w:instrText>
      </w:r>
      <w:r w:rsidRPr="00C5133C">
        <w:rPr>
          <w:rFonts w:ascii="Cambria" w:hAnsi="Cambria"/>
          <w:sz w:val="22"/>
          <w:lang w:val="en-US"/>
        </w:rPr>
        <w:fldChar w:fldCharType="separate"/>
      </w:r>
      <w:r w:rsidRPr="00C5133C">
        <w:rPr>
          <w:rFonts w:ascii="Cambria" w:hAnsi="Cambria"/>
          <w:noProof/>
          <w:sz w:val="22"/>
          <w:lang w:val="en-US"/>
        </w:rPr>
        <w:t xml:space="preserve">Panjalusman </w:t>
      </w:r>
      <w:r w:rsidR="00BF2898" w:rsidRPr="00C5133C">
        <w:rPr>
          <w:rFonts w:ascii="Cambria" w:hAnsi="Cambria"/>
          <w:i/>
          <w:noProof/>
          <w:sz w:val="22"/>
          <w:lang w:val="en-US"/>
        </w:rPr>
        <w:t>et al.</w:t>
      </w:r>
      <w:r w:rsidRPr="00C5133C">
        <w:rPr>
          <w:rFonts w:ascii="Cambria" w:hAnsi="Cambria"/>
          <w:noProof/>
          <w:sz w:val="22"/>
          <w:lang w:val="en-US"/>
        </w:rPr>
        <w:t>, (2018)</w:t>
      </w:r>
      <w:r w:rsidRPr="00C5133C">
        <w:rPr>
          <w:rFonts w:ascii="Cambria" w:hAnsi="Cambria"/>
          <w:sz w:val="22"/>
          <w:lang w:val="en-US"/>
        </w:rPr>
        <w:fldChar w:fldCharType="end"/>
      </w:r>
      <w:r w:rsidRPr="00C5133C">
        <w:rPr>
          <w:rFonts w:ascii="Cambria" w:hAnsi="Cambria"/>
          <w:sz w:val="22"/>
          <w:lang w:val="en-US"/>
        </w:rPr>
        <w:t xml:space="preserve"> yang menyimpulkan bahwa </w:t>
      </w:r>
      <w:r w:rsidRPr="00C5133C">
        <w:rPr>
          <w:rFonts w:ascii="Cambria" w:hAnsi="Cambria"/>
          <w:i/>
          <w:iCs/>
          <w:sz w:val="22"/>
          <w:lang w:val="en-US"/>
        </w:rPr>
        <w:t>transfer pricing</w:t>
      </w:r>
      <w:r w:rsidRPr="00C5133C">
        <w:rPr>
          <w:rFonts w:ascii="Cambria" w:hAnsi="Cambria"/>
          <w:sz w:val="22"/>
          <w:lang w:val="en-US"/>
        </w:rPr>
        <w:t xml:space="preserve"> tidak berdampak signifikan terhadap penghindaran pajak. Perbedaan ini dimungkinkan muncul karena adanya perbedaan proksi yang digunakan dan perbedaan dalam pemilihan sektor industri yang diteliti.</w:t>
      </w:r>
    </w:p>
    <w:p w14:paraId="505088F6" w14:textId="77777777" w:rsidR="00212A8D" w:rsidRPr="00C5133C" w:rsidRDefault="00C374C8" w:rsidP="00C5133C">
      <w:pPr>
        <w:spacing w:line="276" w:lineRule="auto"/>
        <w:rPr>
          <w:rFonts w:ascii="Cambria" w:hAnsi="Cambria"/>
          <w:sz w:val="22"/>
          <w:lang w:val="en-US"/>
        </w:rPr>
      </w:pPr>
      <w:r w:rsidRPr="00C5133C">
        <w:rPr>
          <w:rFonts w:ascii="Cambria" w:hAnsi="Cambria"/>
          <w:sz w:val="22"/>
          <w:lang w:val="en-US"/>
        </w:rPr>
        <w:t xml:space="preserve">Hasil penelitian ini sama dengan hasil penelitian yang dilakukan oleh </w:t>
      </w:r>
      <w:r w:rsidRPr="00C5133C">
        <w:rPr>
          <w:rFonts w:ascii="Cambria" w:hAnsi="Cambria"/>
          <w:sz w:val="22"/>
          <w:lang w:val="en-US"/>
        </w:rPr>
        <w:fldChar w:fldCharType="begin" w:fldLock="1"/>
      </w:r>
      <w:r w:rsidRPr="00C5133C">
        <w:rPr>
          <w:rFonts w:ascii="Cambria" w:hAnsi="Cambria"/>
          <w:sz w:val="22"/>
          <w:lang w:val="en-US"/>
        </w:rPr>
        <w:instrText>ADDIN CSL_CITATION {"citationItems":[{"id":"ITEM-1","itemData":{"DOI":"10.35829/econbank.v1i2.48","abstract":"The purpose of this study is knowing the effect of leverage, profitability, capital intensity, and earnings management on tax avoidance. The period of this study is 5 (five) years, from 2013 to 2017. The data used are secondary data. The population is mining sector companies listed on the Indonesia Stock Exchange from 2013 to 2017 with a total of 47 companies. The sample selection is determined by the purpose sampling method and the samples used are 11 companies with a total of 55 data. The data analysis method is multiple linear regression. The results show that profitability, capital intensity, and earnings management negatively affect tax avoidance. Leverage has no effect on tax avoidance.","author":[{"dropping-particle":"","family":"Rifai","given":"Ahmad","non-dropping-particle":"","parse-names":false,"suffix":""},{"dropping-particle":"","family":"Atiningsih","given":"Suci","non-dropping-particle":"","parse-names":false,"suffix":""}],"container-title":"ECONBANK: Journal of Economics and Banking","id":"ITEM-1","issue":"2","issued":{"date-parts":[["2019"]]},"page":"135-142","title":"Pengaruh Leverage, Profitabilitas, Capital Intensity, Manajemen Laba Terhadap Penghindaran Pajak","type":"article-journal","volume":"1"},"uris":["http://www.mendeley.com/documents/?uuid=dbf41dd0-9bd6-49ef-9070-154fb9510cc7"]}],"mendeley":{"formattedCitation":"(Rifai &amp; Atiningsih, 2019)","manualFormatting":"Rifai &amp; Atiningsih, (2019)","plainTextFormattedCitation":"(Rifai &amp; Atiningsih, 2019)","previouslyFormattedCitation":"(Rifai &amp; Atiningsih, 2019)"},"properties":{"noteIndex":0},"schema":"https://github.com/citation-style-language/schema/raw/master/csl-citation.json"}</w:instrText>
      </w:r>
      <w:r w:rsidRPr="00C5133C">
        <w:rPr>
          <w:rFonts w:ascii="Cambria" w:hAnsi="Cambria"/>
          <w:sz w:val="22"/>
          <w:lang w:val="en-US"/>
        </w:rPr>
        <w:fldChar w:fldCharType="separate"/>
      </w:r>
      <w:r w:rsidRPr="00C5133C">
        <w:rPr>
          <w:rFonts w:ascii="Cambria" w:hAnsi="Cambria"/>
          <w:noProof/>
          <w:sz w:val="22"/>
          <w:lang w:val="en-US"/>
        </w:rPr>
        <w:t>Rifai &amp; Atiningsih, (2019)</w:t>
      </w:r>
      <w:r w:rsidRPr="00C5133C">
        <w:rPr>
          <w:rFonts w:ascii="Cambria" w:hAnsi="Cambria"/>
          <w:sz w:val="22"/>
          <w:lang w:val="en-US"/>
        </w:rPr>
        <w:fldChar w:fldCharType="end"/>
      </w:r>
      <w:r w:rsidRPr="00C5133C">
        <w:rPr>
          <w:rFonts w:ascii="Cambria" w:hAnsi="Cambria"/>
          <w:sz w:val="22"/>
          <w:lang w:val="en-US"/>
        </w:rPr>
        <w:t xml:space="preserve"> dan </w:t>
      </w:r>
      <w:r w:rsidRPr="00C5133C">
        <w:rPr>
          <w:rFonts w:ascii="Cambria" w:hAnsi="Cambria"/>
          <w:sz w:val="22"/>
          <w:lang w:val="en-US"/>
        </w:rPr>
        <w:fldChar w:fldCharType="begin" w:fldLock="1"/>
      </w:r>
      <w:r w:rsidRPr="00C5133C">
        <w:rPr>
          <w:rFonts w:ascii="Cambria" w:hAnsi="Cambria"/>
          <w:sz w:val="22"/>
          <w:lang w:val="en-US"/>
        </w:rPr>
        <w:instrText>ADDIN CSL_CITATION {"citationItems":[{"id":"ITEM-1","itemData":{"abstract":"… Perbedaan kepentingan ekonomis dapat menyebabkan timbulnyakesenjangan informasi antara prinsipal dan agen … Tahun 2012 – 2016), e- Proceeding of Management, Vol 5 No 2. Mayangsari, VR, 2015, Analisis Faktor-Faktor yang Mempengaruhi Penghindaran Pajak …","author":[{"dropping-particle":"","family":"Putri","given":"Nadia","non-dropping-particle":"","parse-names":false,"suffix":""},{"dropping-particle":"","family":"Mulyani","given":"Susi Dwi","non-dropping-particle":"","parse-names":false,"suffix":""}],"container-title":"Prosiding Seminar Nasional Pakar","id":"ITEM-1","issue":"2","issued":{"date-parts":[["2020"]]},"page":"1-9","title":"Pengaruh Transfer Pricing Dan Kepemilikan Asing Terhadap Praktik Penghindaran Pajak (Tax Avoidance)Dengan Pengungkapan Corporate Social Responsibility (Csr)Sebagai Variabel Moderasi","type":"article-journal","volume":"1"},"uris":["http://www.mendeley.com/documents/?uuid=c93213ec-75e2-4317-bbd5-b91d294a09ba"]}],"mendeley":{"formattedCitation":"(N. Putri &amp; Mulyani, 2020)","manualFormatting":"N. Putri &amp; Mulyani, (2020)","plainTextFormattedCitation":"(N. Putri &amp; Mulyani, 2020)","previouslyFormattedCitation":"(N. Putri &amp; Mulyani, 2020)"},"properties":{"noteIndex":0},"schema":"https://github.com/citation-style-language/schema/raw/master/csl-citation.json"}</w:instrText>
      </w:r>
      <w:r w:rsidRPr="00C5133C">
        <w:rPr>
          <w:rFonts w:ascii="Cambria" w:hAnsi="Cambria"/>
          <w:sz w:val="22"/>
          <w:lang w:val="en-US"/>
        </w:rPr>
        <w:fldChar w:fldCharType="separate"/>
      </w:r>
      <w:r w:rsidRPr="00C5133C">
        <w:rPr>
          <w:rFonts w:ascii="Cambria" w:hAnsi="Cambria"/>
          <w:noProof/>
          <w:sz w:val="22"/>
          <w:lang w:val="en-US"/>
        </w:rPr>
        <w:t>N. Putri &amp; Mulyani, (2020)</w:t>
      </w:r>
      <w:r w:rsidRPr="00C5133C">
        <w:rPr>
          <w:rFonts w:ascii="Cambria" w:hAnsi="Cambria"/>
          <w:sz w:val="22"/>
          <w:lang w:val="en-US"/>
        </w:rPr>
        <w:fldChar w:fldCharType="end"/>
      </w:r>
      <w:r w:rsidRPr="00C5133C">
        <w:rPr>
          <w:rFonts w:ascii="Cambria" w:hAnsi="Cambria"/>
          <w:sz w:val="22"/>
          <w:lang w:val="en-US"/>
        </w:rPr>
        <w:t xml:space="preserve"> yang menyimpulkan bahwa </w:t>
      </w:r>
      <w:r w:rsidRPr="00C5133C">
        <w:rPr>
          <w:rFonts w:ascii="Cambria" w:hAnsi="Cambria"/>
          <w:i/>
          <w:sz w:val="22"/>
          <w:lang w:val="en-US"/>
        </w:rPr>
        <w:t>transfer pricing</w:t>
      </w:r>
      <w:r w:rsidRPr="00C5133C">
        <w:rPr>
          <w:rFonts w:ascii="Cambria" w:hAnsi="Cambria"/>
          <w:sz w:val="22"/>
          <w:lang w:val="en-US"/>
        </w:rPr>
        <w:t xml:space="preserve"> memiliki pengaruh positif signifikan terhadap penghindaran pajak. Hasil ini dapat diartikan bahwa perusahaan pada sektor pertanian menggunakan metode </w:t>
      </w:r>
      <w:r w:rsidRPr="00C5133C">
        <w:rPr>
          <w:rFonts w:ascii="Cambria" w:hAnsi="Cambria"/>
          <w:i/>
          <w:sz w:val="22"/>
          <w:lang w:val="en-US"/>
        </w:rPr>
        <w:t>transfer pricing</w:t>
      </w:r>
      <w:r w:rsidRPr="00C5133C">
        <w:rPr>
          <w:rFonts w:ascii="Cambria" w:hAnsi="Cambria"/>
          <w:sz w:val="22"/>
          <w:lang w:val="en-US"/>
        </w:rPr>
        <w:t xml:space="preserve"> untuk secara aktif mengurangi jumlah pajak yang harus ditanggung perusahaan.</w:t>
      </w:r>
    </w:p>
    <w:p w14:paraId="3F60E6C5" w14:textId="77777777" w:rsidR="007E3F31" w:rsidRPr="00C5133C" w:rsidRDefault="0049500B" w:rsidP="00C5133C">
      <w:pPr>
        <w:spacing w:line="276" w:lineRule="auto"/>
        <w:rPr>
          <w:rFonts w:ascii="Cambria" w:hAnsi="Cambria"/>
          <w:i/>
          <w:sz w:val="22"/>
          <w:lang w:val="en-US"/>
        </w:rPr>
      </w:pPr>
      <w:r w:rsidRPr="00C5133C">
        <w:rPr>
          <w:rFonts w:ascii="Cambria" w:hAnsi="Cambria"/>
          <w:sz w:val="22"/>
          <w:lang w:val="en-US"/>
        </w:rPr>
        <w:t xml:space="preserve"> Perusahaan pada sektor pertanian pada umumnya adalah perusahaan yang memproduksi barang setengah jadi yang memiliki umur </w:t>
      </w:r>
      <w:proofErr w:type="gramStart"/>
      <w:r w:rsidRPr="00C5133C">
        <w:rPr>
          <w:rFonts w:ascii="Cambria" w:hAnsi="Cambria"/>
          <w:sz w:val="22"/>
          <w:lang w:val="en-US"/>
        </w:rPr>
        <w:t>simpan  yang</w:t>
      </w:r>
      <w:proofErr w:type="gramEnd"/>
      <w:r w:rsidRPr="00C5133C">
        <w:rPr>
          <w:rFonts w:ascii="Cambria" w:hAnsi="Cambria"/>
          <w:sz w:val="22"/>
          <w:lang w:val="en-US"/>
        </w:rPr>
        <w:t xml:space="preserve"> pendek dan memerlukan pengolahan lebih lanjut untuk dapat menjadi produk yang dapat dijual ke konsumen</w:t>
      </w:r>
      <w:r w:rsidR="00212A8D" w:rsidRPr="00C5133C">
        <w:rPr>
          <w:rFonts w:ascii="Cambria" w:hAnsi="Cambria"/>
          <w:sz w:val="22"/>
          <w:lang w:val="en-US"/>
        </w:rPr>
        <w:t xml:space="preserve">, karakteristik ini menyebabkan perusahaan pada sektor pertanian untuk beroperasi dalam grup perusahaan yang mencakup perusahaan yang operasi utamanya adalah pengolahan produk pertanian. Adanya hubungan antara perusahaan pada sektor pertanian dengan perusahaan-perusahaan lain dalam grupnya memungkinkan perusahaan pada sektor pertanian untuk melakukan praktik </w:t>
      </w:r>
      <w:r w:rsidR="00212A8D" w:rsidRPr="00C5133C">
        <w:rPr>
          <w:rFonts w:ascii="Cambria" w:hAnsi="Cambria"/>
          <w:i/>
          <w:sz w:val="22"/>
          <w:lang w:val="en-US"/>
        </w:rPr>
        <w:t>transfer pricing.</w:t>
      </w:r>
    </w:p>
    <w:p w14:paraId="5A01ADB7" w14:textId="77777777" w:rsidR="00A934E3" w:rsidRPr="00C5133C" w:rsidRDefault="00A934E3" w:rsidP="00C5133C">
      <w:pPr>
        <w:spacing w:line="276" w:lineRule="auto"/>
        <w:rPr>
          <w:rFonts w:ascii="Cambria" w:hAnsi="Cambria"/>
          <w:i/>
          <w:sz w:val="22"/>
          <w:lang w:val="en-US"/>
        </w:rPr>
      </w:pPr>
    </w:p>
    <w:p w14:paraId="3FE2B1EC" w14:textId="1A966ACA" w:rsidR="00C374C8" w:rsidRPr="00C5133C" w:rsidRDefault="0083677D" w:rsidP="00BF13BD">
      <w:pPr>
        <w:pStyle w:val="Heading1"/>
        <w:numPr>
          <w:ilvl w:val="0"/>
          <w:numId w:val="27"/>
        </w:numPr>
        <w:spacing w:before="240" w:after="200" w:line="276" w:lineRule="auto"/>
        <w:ind w:left="709" w:hanging="709"/>
        <w:jc w:val="both"/>
        <w:rPr>
          <w:rFonts w:ascii="Cambria" w:hAnsi="Cambria"/>
          <w:sz w:val="22"/>
          <w:szCs w:val="22"/>
          <w:lang w:val="en-US"/>
        </w:rPr>
      </w:pPr>
      <w:bookmarkStart w:id="30" w:name="_Toc84232443"/>
      <w:r w:rsidRPr="00C5133C">
        <w:rPr>
          <w:rFonts w:ascii="Cambria" w:hAnsi="Cambria"/>
          <w:sz w:val="24"/>
          <w:szCs w:val="24"/>
        </w:rPr>
        <w:t>SIMPULAN</w:t>
      </w:r>
      <w:bookmarkEnd w:id="30"/>
    </w:p>
    <w:p w14:paraId="5F262516" w14:textId="14787838" w:rsidR="006C645C" w:rsidRPr="00C5133C" w:rsidRDefault="00C374C8" w:rsidP="00BF13BD">
      <w:pPr>
        <w:spacing w:line="276" w:lineRule="auto"/>
        <w:rPr>
          <w:rFonts w:ascii="Cambria" w:hAnsi="Cambria"/>
          <w:sz w:val="22"/>
          <w:lang w:val="en-US"/>
        </w:rPr>
      </w:pPr>
      <w:r w:rsidRPr="00C5133C">
        <w:rPr>
          <w:rFonts w:ascii="Cambria" w:hAnsi="Cambria"/>
          <w:sz w:val="22"/>
          <w:lang w:val="en-US"/>
        </w:rPr>
        <w:t xml:space="preserve">Manajemen laba akrual tidak memiliki pengaruh signifikan terhadap penghindaran pajak. hasil yang didapatkan menggambarkan bahwa </w:t>
      </w:r>
      <w:r w:rsidR="00FA0990" w:rsidRPr="00C5133C">
        <w:rPr>
          <w:rFonts w:ascii="Cambria" w:hAnsi="Cambria"/>
          <w:sz w:val="22"/>
          <w:lang w:val="en-US"/>
        </w:rPr>
        <w:t>praktik</w:t>
      </w:r>
      <w:r w:rsidRPr="00C5133C">
        <w:rPr>
          <w:rFonts w:ascii="Cambria" w:hAnsi="Cambria"/>
          <w:sz w:val="22"/>
          <w:lang w:val="en-US"/>
        </w:rPr>
        <w:t xml:space="preserve"> ini tidak dilakukan dengan tujuan untuk mengurangi beban pajak, melainkan dilakukan untuk tujuan lain.</w:t>
      </w:r>
    </w:p>
    <w:p w14:paraId="1B4D2421" w14:textId="4F765118" w:rsidR="006C645C" w:rsidRPr="00C5133C" w:rsidRDefault="00C374C8" w:rsidP="00BF13BD">
      <w:pPr>
        <w:spacing w:line="276" w:lineRule="auto"/>
        <w:rPr>
          <w:rFonts w:ascii="Cambria" w:hAnsi="Cambria"/>
          <w:sz w:val="22"/>
          <w:lang w:val="en-US"/>
        </w:rPr>
      </w:pPr>
      <w:r w:rsidRPr="00C5133C">
        <w:rPr>
          <w:rFonts w:ascii="Cambria" w:hAnsi="Cambria"/>
          <w:sz w:val="22"/>
          <w:lang w:val="en-US"/>
        </w:rPr>
        <w:t xml:space="preserve">Manajemen laba </w:t>
      </w:r>
      <w:r w:rsidR="00BF2898" w:rsidRPr="00C5133C">
        <w:rPr>
          <w:rFonts w:ascii="Cambria" w:hAnsi="Cambria"/>
          <w:i/>
          <w:sz w:val="22"/>
          <w:lang w:val="en-US"/>
        </w:rPr>
        <w:t>real</w:t>
      </w:r>
      <w:r w:rsidRPr="00C5133C">
        <w:rPr>
          <w:rFonts w:ascii="Cambria" w:hAnsi="Cambria"/>
          <w:sz w:val="22"/>
          <w:lang w:val="en-US"/>
        </w:rPr>
        <w:t xml:space="preserve"> arus kas memiliki pengaruh negatif yang signifikan terhadap penghindaran pajak. Hasil yang didapatkan menggambarkan bahwa terjadi </w:t>
      </w:r>
      <w:r w:rsidRPr="00C5133C">
        <w:rPr>
          <w:rFonts w:ascii="Cambria" w:hAnsi="Cambria"/>
          <w:i/>
          <w:sz w:val="22"/>
          <w:lang w:val="en-US"/>
        </w:rPr>
        <w:t>trade-off</w:t>
      </w:r>
      <w:r w:rsidRPr="00C5133C">
        <w:rPr>
          <w:rFonts w:ascii="Cambria" w:hAnsi="Cambria"/>
          <w:sz w:val="22"/>
          <w:lang w:val="en-US"/>
        </w:rPr>
        <w:t xml:space="preserve"> antara </w:t>
      </w:r>
      <w:r w:rsidR="00FA0990" w:rsidRPr="00C5133C">
        <w:rPr>
          <w:rFonts w:ascii="Cambria" w:hAnsi="Cambria"/>
          <w:sz w:val="22"/>
          <w:lang w:val="en-US"/>
        </w:rPr>
        <w:t>praktik</w:t>
      </w:r>
      <w:r w:rsidRPr="00C5133C">
        <w:rPr>
          <w:rFonts w:ascii="Cambria" w:hAnsi="Cambria"/>
          <w:sz w:val="22"/>
          <w:lang w:val="en-US"/>
        </w:rPr>
        <w:t xml:space="preserve"> manajemen laba dan usaha-usaha penghindaran pajak. Manajemen laba </w:t>
      </w:r>
      <w:r w:rsidR="00BF2898" w:rsidRPr="00C5133C">
        <w:rPr>
          <w:rFonts w:ascii="Cambria" w:hAnsi="Cambria"/>
          <w:i/>
          <w:sz w:val="22"/>
          <w:lang w:val="en-US"/>
        </w:rPr>
        <w:t>real</w:t>
      </w:r>
      <w:r w:rsidRPr="00C5133C">
        <w:rPr>
          <w:rFonts w:ascii="Cambria" w:hAnsi="Cambria"/>
          <w:sz w:val="22"/>
          <w:lang w:val="en-US"/>
        </w:rPr>
        <w:t xml:space="preserve"> biaya produksi memiliki pengaruh negatif signifikan terhadap penghindaran pajak. Hasil yang didapatkan menggambarkan bahwa terjadi </w:t>
      </w:r>
      <w:r w:rsidRPr="00C5133C">
        <w:rPr>
          <w:rFonts w:ascii="Cambria" w:hAnsi="Cambria"/>
          <w:i/>
          <w:iCs/>
          <w:sz w:val="22"/>
          <w:lang w:val="en-US"/>
        </w:rPr>
        <w:t>trade-off</w:t>
      </w:r>
      <w:r w:rsidRPr="00C5133C">
        <w:rPr>
          <w:rFonts w:ascii="Cambria" w:hAnsi="Cambria"/>
          <w:sz w:val="22"/>
          <w:lang w:val="en-US"/>
        </w:rPr>
        <w:t xml:space="preserve"> antara </w:t>
      </w:r>
      <w:r w:rsidR="00FA0990" w:rsidRPr="00C5133C">
        <w:rPr>
          <w:rFonts w:ascii="Cambria" w:hAnsi="Cambria"/>
          <w:sz w:val="22"/>
          <w:lang w:val="en-US"/>
        </w:rPr>
        <w:t>praktik</w:t>
      </w:r>
      <w:r w:rsidRPr="00C5133C">
        <w:rPr>
          <w:rFonts w:ascii="Cambria" w:hAnsi="Cambria"/>
          <w:sz w:val="22"/>
          <w:lang w:val="en-US"/>
        </w:rPr>
        <w:t xml:space="preserve"> manajemen laba dan usaha-usaha penghindaran pajak. Manajemen laba </w:t>
      </w:r>
      <w:r w:rsidR="00BF2898" w:rsidRPr="00C5133C">
        <w:rPr>
          <w:rFonts w:ascii="Cambria" w:hAnsi="Cambria"/>
          <w:i/>
          <w:sz w:val="22"/>
          <w:lang w:val="en-US"/>
        </w:rPr>
        <w:t>real</w:t>
      </w:r>
      <w:r w:rsidRPr="00C5133C">
        <w:rPr>
          <w:rFonts w:ascii="Cambria" w:hAnsi="Cambria"/>
          <w:sz w:val="22"/>
          <w:lang w:val="en-US"/>
        </w:rPr>
        <w:t xml:space="preserve"> melalui biaya</w:t>
      </w:r>
      <w:r w:rsidR="00303495" w:rsidRPr="00C5133C">
        <w:rPr>
          <w:rFonts w:ascii="Cambria" w:hAnsi="Cambria"/>
          <w:sz w:val="22"/>
          <w:lang w:val="en-US"/>
        </w:rPr>
        <w:t xml:space="preserve"> diskresioner berpengaruh positif signifikan terhadap penghindaran pajak. Hasil yang didapatkan menggambarkan bahwa ada kemungkinan perusahaan lebih memilih untuk melakukan manajemen laba </w:t>
      </w:r>
      <w:r w:rsidR="00303495" w:rsidRPr="00C5133C">
        <w:rPr>
          <w:rFonts w:ascii="Cambria" w:hAnsi="Cambria"/>
          <w:i/>
          <w:sz w:val="22"/>
          <w:lang w:val="en-US"/>
        </w:rPr>
        <w:t>real</w:t>
      </w:r>
      <w:r w:rsidR="00303495" w:rsidRPr="00C5133C">
        <w:rPr>
          <w:rFonts w:ascii="Cambria" w:hAnsi="Cambria"/>
          <w:sz w:val="22"/>
          <w:lang w:val="en-US"/>
        </w:rPr>
        <w:t xml:space="preserve"> melalui biaya diskresioner untuk menghindari pajak.</w:t>
      </w:r>
    </w:p>
    <w:p w14:paraId="14ABB369" w14:textId="794EDB9F" w:rsidR="00C374C8" w:rsidRPr="00C5133C" w:rsidRDefault="00C374C8" w:rsidP="00BF13BD">
      <w:pPr>
        <w:spacing w:line="276" w:lineRule="auto"/>
        <w:rPr>
          <w:rFonts w:ascii="Cambria" w:hAnsi="Cambria"/>
          <w:sz w:val="22"/>
          <w:lang w:val="en-US"/>
        </w:rPr>
      </w:pPr>
      <w:r w:rsidRPr="00C5133C">
        <w:rPr>
          <w:rFonts w:ascii="Cambria" w:hAnsi="Cambria"/>
          <w:i/>
          <w:sz w:val="22"/>
          <w:lang w:val="en-US"/>
        </w:rPr>
        <w:t>Transfer Pricing</w:t>
      </w:r>
      <w:r w:rsidRPr="00C5133C">
        <w:rPr>
          <w:rFonts w:ascii="Cambria" w:hAnsi="Cambria"/>
          <w:sz w:val="22"/>
          <w:lang w:val="en-US"/>
        </w:rPr>
        <w:t xml:space="preserve"> berpengaruh positif signifikan terhadap variabel penghindaran pajak. Hasil yang didapatkan menunjukkan perusahaan pada sektor pertanian menggunakan metode </w:t>
      </w:r>
      <w:r w:rsidRPr="00C5133C">
        <w:rPr>
          <w:rFonts w:ascii="Cambria" w:hAnsi="Cambria"/>
          <w:i/>
          <w:sz w:val="22"/>
          <w:lang w:val="en-US"/>
        </w:rPr>
        <w:t>transfer pricing</w:t>
      </w:r>
      <w:r w:rsidRPr="00C5133C">
        <w:rPr>
          <w:rFonts w:ascii="Cambria" w:hAnsi="Cambria"/>
          <w:sz w:val="22"/>
          <w:lang w:val="en-US"/>
        </w:rPr>
        <w:t xml:space="preserve"> untuk melakukan penghindaran pajak.</w:t>
      </w:r>
    </w:p>
    <w:p w14:paraId="189CA6A8" w14:textId="4D3BC0C7" w:rsidR="0075656D" w:rsidRDefault="0075656D" w:rsidP="00C5133C">
      <w:pPr>
        <w:spacing w:line="276" w:lineRule="auto"/>
        <w:ind w:firstLine="0"/>
        <w:jc w:val="left"/>
        <w:rPr>
          <w:rFonts w:ascii="Cambria" w:hAnsi="Cambria" w:cs="Times New Roman"/>
          <w:sz w:val="22"/>
          <w:lang w:val="en-US"/>
        </w:rPr>
      </w:pPr>
    </w:p>
    <w:p w14:paraId="085F78F3" w14:textId="42D013B2" w:rsidR="00320D08" w:rsidRDefault="00320D08" w:rsidP="00C5133C">
      <w:pPr>
        <w:spacing w:line="276" w:lineRule="auto"/>
        <w:ind w:firstLine="0"/>
        <w:jc w:val="left"/>
        <w:rPr>
          <w:rFonts w:ascii="Cambria" w:hAnsi="Cambria" w:cs="Times New Roman"/>
          <w:sz w:val="22"/>
          <w:lang w:val="en-US"/>
        </w:rPr>
      </w:pPr>
    </w:p>
    <w:p w14:paraId="43905E25" w14:textId="77777777" w:rsidR="00484584" w:rsidRPr="00C5133C" w:rsidRDefault="00484584" w:rsidP="00C5133C">
      <w:pPr>
        <w:spacing w:line="276" w:lineRule="auto"/>
        <w:ind w:firstLine="0"/>
        <w:jc w:val="left"/>
        <w:rPr>
          <w:rFonts w:ascii="Cambria" w:hAnsi="Cambria" w:cs="Times New Roman"/>
          <w:sz w:val="22"/>
          <w:lang w:val="en-US"/>
        </w:rPr>
      </w:pPr>
    </w:p>
    <w:p w14:paraId="0FEF54B2" w14:textId="43FB213F" w:rsidR="0075656D" w:rsidRPr="00C5133C" w:rsidRDefault="0075656D" w:rsidP="00320D08">
      <w:pPr>
        <w:pStyle w:val="Heading1"/>
        <w:spacing w:after="200" w:line="276" w:lineRule="auto"/>
        <w:jc w:val="both"/>
        <w:rPr>
          <w:rFonts w:ascii="Cambria" w:hAnsi="Cambria" w:cs="Times New Roman"/>
          <w:sz w:val="24"/>
          <w:szCs w:val="24"/>
          <w:lang w:val="en-US"/>
        </w:rPr>
      </w:pPr>
      <w:bookmarkStart w:id="31" w:name="_Toc84232447"/>
      <w:r w:rsidRPr="00C5133C">
        <w:rPr>
          <w:rFonts w:ascii="Cambria" w:hAnsi="Cambria"/>
          <w:sz w:val="24"/>
          <w:szCs w:val="24"/>
        </w:rPr>
        <w:lastRenderedPageBreak/>
        <w:t>DAFTAR PUSTAKA</w:t>
      </w:r>
      <w:bookmarkEnd w:id="31"/>
    </w:p>
    <w:p w14:paraId="2E3F09E4" w14:textId="0771CD42" w:rsidR="007A371B" w:rsidRPr="00320D08" w:rsidRDefault="00C374C8" w:rsidP="00320D08">
      <w:pPr>
        <w:widowControl w:val="0"/>
        <w:autoSpaceDE w:val="0"/>
        <w:autoSpaceDN w:val="0"/>
        <w:adjustRightInd w:val="0"/>
        <w:spacing w:after="240" w:line="276" w:lineRule="auto"/>
        <w:ind w:left="709" w:hanging="709"/>
        <w:rPr>
          <w:rFonts w:ascii="Cambria" w:hAnsi="Cambria" w:cs="Times New Roman"/>
          <w:noProof/>
          <w:sz w:val="22"/>
        </w:rPr>
      </w:pPr>
      <w:r w:rsidRPr="00320D08">
        <w:rPr>
          <w:rFonts w:ascii="Cambria" w:hAnsi="Cambria" w:cs="Times New Roman"/>
          <w:sz w:val="22"/>
          <w:lang w:val="en-US"/>
        </w:rPr>
        <w:fldChar w:fldCharType="begin" w:fldLock="1"/>
      </w:r>
      <w:r w:rsidRPr="00320D08">
        <w:rPr>
          <w:rFonts w:ascii="Cambria" w:hAnsi="Cambria" w:cs="Times New Roman"/>
          <w:sz w:val="22"/>
          <w:lang w:val="en-US"/>
        </w:rPr>
        <w:instrText xml:space="preserve">ADDIN Mendeley Bibliography CSL_BIBLIOGRAPHY </w:instrText>
      </w:r>
      <w:r w:rsidRPr="00320D08">
        <w:rPr>
          <w:rFonts w:ascii="Cambria" w:hAnsi="Cambria" w:cs="Times New Roman"/>
          <w:sz w:val="22"/>
          <w:lang w:val="en-US"/>
        </w:rPr>
        <w:fldChar w:fldCharType="separate"/>
      </w:r>
      <w:r w:rsidR="007A371B" w:rsidRPr="00320D08">
        <w:rPr>
          <w:rFonts w:ascii="Cambria" w:hAnsi="Cambria" w:cs="Times New Roman"/>
          <w:noProof/>
          <w:sz w:val="22"/>
        </w:rPr>
        <w:t xml:space="preserve">Bremser, W. G. (1975). The Earnings Characteristics of Firms Reporting Discretionary Accounting Changes. </w:t>
      </w:r>
      <w:r w:rsidR="007A371B" w:rsidRPr="00320D08">
        <w:rPr>
          <w:rFonts w:ascii="Cambria" w:hAnsi="Cambria" w:cs="Times New Roman"/>
          <w:i/>
          <w:iCs/>
          <w:noProof/>
          <w:sz w:val="22"/>
        </w:rPr>
        <w:t>The Accounting Review</w:t>
      </w:r>
      <w:r w:rsidR="007A371B" w:rsidRPr="00320D08">
        <w:rPr>
          <w:rFonts w:ascii="Cambria" w:hAnsi="Cambria" w:cs="Times New Roman"/>
          <w:noProof/>
          <w:sz w:val="22"/>
        </w:rPr>
        <w:t xml:space="preserve">, </w:t>
      </w:r>
      <w:r w:rsidR="007A371B" w:rsidRPr="00320D08">
        <w:rPr>
          <w:rFonts w:ascii="Cambria" w:hAnsi="Cambria" w:cs="Times New Roman"/>
          <w:i/>
          <w:iCs/>
          <w:noProof/>
          <w:sz w:val="22"/>
        </w:rPr>
        <w:t>50</w:t>
      </w:r>
      <w:r w:rsidR="007A371B" w:rsidRPr="00320D08">
        <w:rPr>
          <w:rFonts w:ascii="Cambria" w:hAnsi="Cambria" w:cs="Times New Roman"/>
          <w:noProof/>
          <w:sz w:val="22"/>
        </w:rPr>
        <w:t>(3), 563–573. http://www.jstor.org/stable/245013</w:t>
      </w:r>
    </w:p>
    <w:p w14:paraId="436B2E65" w14:textId="55BD08E4" w:rsidR="007A371B" w:rsidRPr="00320D08" w:rsidRDefault="007A371B" w:rsidP="00320D08">
      <w:pPr>
        <w:widowControl w:val="0"/>
        <w:autoSpaceDE w:val="0"/>
        <w:autoSpaceDN w:val="0"/>
        <w:adjustRightInd w:val="0"/>
        <w:spacing w:line="276" w:lineRule="auto"/>
        <w:ind w:left="709" w:hanging="709"/>
        <w:rPr>
          <w:rFonts w:ascii="Cambria" w:hAnsi="Cambria" w:cs="Times New Roman"/>
          <w:noProof/>
          <w:sz w:val="22"/>
        </w:rPr>
      </w:pPr>
      <w:r w:rsidRPr="00320D08">
        <w:rPr>
          <w:rFonts w:ascii="Cambria" w:hAnsi="Cambria" w:cs="Times New Roman"/>
          <w:noProof/>
          <w:sz w:val="22"/>
        </w:rPr>
        <w:t xml:space="preserve">Burgstahler, D., &amp; Dichev, I. (1997). Earnings management to avoid earnings decreases and losses. </w:t>
      </w:r>
      <w:r w:rsidRPr="00320D08">
        <w:rPr>
          <w:rFonts w:ascii="Cambria" w:hAnsi="Cambria" w:cs="Times New Roman"/>
          <w:i/>
          <w:iCs/>
          <w:noProof/>
          <w:sz w:val="22"/>
        </w:rPr>
        <w:t>Journal of Accounting and Economics</w:t>
      </w:r>
      <w:r w:rsidRPr="00320D08">
        <w:rPr>
          <w:rFonts w:ascii="Cambria" w:hAnsi="Cambria" w:cs="Times New Roman"/>
          <w:noProof/>
          <w:sz w:val="22"/>
        </w:rPr>
        <w:t xml:space="preserve">, </w:t>
      </w:r>
      <w:r w:rsidRPr="00320D08">
        <w:rPr>
          <w:rFonts w:ascii="Cambria" w:hAnsi="Cambria" w:cs="Times New Roman"/>
          <w:i/>
          <w:iCs/>
          <w:noProof/>
          <w:sz w:val="22"/>
        </w:rPr>
        <w:t>24</w:t>
      </w:r>
      <w:r w:rsidRPr="00320D08">
        <w:rPr>
          <w:rFonts w:ascii="Cambria" w:hAnsi="Cambria" w:cs="Times New Roman"/>
          <w:noProof/>
          <w:sz w:val="22"/>
        </w:rPr>
        <w:t>(1), 99–126. https://doi.org/https://doi.org/10.1016/S0165-4101(97)00017-7</w:t>
      </w:r>
    </w:p>
    <w:p w14:paraId="01DFA5DF" w14:textId="20B8B4C4" w:rsidR="007A371B" w:rsidRPr="00320D08" w:rsidRDefault="007A371B" w:rsidP="00320D08">
      <w:pPr>
        <w:widowControl w:val="0"/>
        <w:autoSpaceDE w:val="0"/>
        <w:autoSpaceDN w:val="0"/>
        <w:adjustRightInd w:val="0"/>
        <w:spacing w:line="276" w:lineRule="auto"/>
        <w:ind w:left="709" w:hanging="709"/>
        <w:rPr>
          <w:rFonts w:ascii="Cambria" w:hAnsi="Cambria" w:cs="Times New Roman"/>
          <w:noProof/>
          <w:sz w:val="22"/>
        </w:rPr>
      </w:pPr>
      <w:r w:rsidRPr="00320D08">
        <w:rPr>
          <w:rFonts w:ascii="Cambria" w:hAnsi="Cambria" w:cs="Times New Roman"/>
          <w:noProof/>
          <w:sz w:val="22"/>
        </w:rPr>
        <w:t xml:space="preserve">Cobham, A., Bernardo, J. G., Palansky, M., &amp; Mansour, M. B. (2020). The State of Tax Justice 2020 : Tax Justice in the time of COVID-19. </w:t>
      </w:r>
      <w:r w:rsidRPr="00320D08">
        <w:rPr>
          <w:rFonts w:ascii="Cambria" w:hAnsi="Cambria" w:cs="Times New Roman"/>
          <w:i/>
          <w:iCs/>
          <w:noProof/>
          <w:sz w:val="22"/>
        </w:rPr>
        <w:t>Tax Justice Network</w:t>
      </w:r>
      <w:r w:rsidRPr="00320D08">
        <w:rPr>
          <w:rFonts w:ascii="Cambria" w:hAnsi="Cambria" w:cs="Times New Roman"/>
          <w:noProof/>
          <w:sz w:val="22"/>
        </w:rPr>
        <w:t xml:space="preserve">, </w:t>
      </w:r>
      <w:r w:rsidRPr="00320D08">
        <w:rPr>
          <w:rFonts w:ascii="Cambria" w:hAnsi="Cambria" w:cs="Times New Roman"/>
          <w:i/>
          <w:iCs/>
          <w:noProof/>
          <w:sz w:val="22"/>
        </w:rPr>
        <w:t>November</w:t>
      </w:r>
      <w:r w:rsidRPr="00320D08">
        <w:rPr>
          <w:rFonts w:ascii="Cambria" w:hAnsi="Cambria" w:cs="Times New Roman"/>
          <w:noProof/>
          <w:sz w:val="22"/>
        </w:rPr>
        <w:t>, 1–83. https://www.taxjustice.net/reports/the-state-of-tax-justice-2020/</w:t>
      </w:r>
    </w:p>
    <w:p w14:paraId="7BEB12EE" w14:textId="1D05F86D" w:rsidR="007A371B" w:rsidRPr="00320D08" w:rsidRDefault="007A371B" w:rsidP="00320D08">
      <w:pPr>
        <w:widowControl w:val="0"/>
        <w:autoSpaceDE w:val="0"/>
        <w:autoSpaceDN w:val="0"/>
        <w:adjustRightInd w:val="0"/>
        <w:spacing w:line="276" w:lineRule="auto"/>
        <w:ind w:left="709" w:hanging="709"/>
        <w:rPr>
          <w:rFonts w:ascii="Cambria" w:hAnsi="Cambria" w:cs="Times New Roman"/>
          <w:noProof/>
          <w:sz w:val="22"/>
        </w:rPr>
      </w:pPr>
      <w:r w:rsidRPr="00320D08">
        <w:rPr>
          <w:rFonts w:ascii="Cambria" w:hAnsi="Cambria" w:cs="Times New Roman"/>
          <w:noProof/>
          <w:sz w:val="22"/>
        </w:rPr>
        <w:t xml:space="preserve">Creswell, J. W., &amp; Creswell, J. . (2018). </w:t>
      </w:r>
      <w:r w:rsidRPr="00320D08">
        <w:rPr>
          <w:rFonts w:ascii="Cambria" w:hAnsi="Cambria" w:cs="Times New Roman"/>
          <w:i/>
          <w:iCs/>
          <w:noProof/>
          <w:sz w:val="22"/>
        </w:rPr>
        <w:t>Research Design: Qualitative, Quantitative, and Mixed Methods Approaches (Fifth Edition)</w:t>
      </w:r>
      <w:r w:rsidRPr="00320D08">
        <w:rPr>
          <w:rFonts w:ascii="Cambria" w:hAnsi="Cambria" w:cs="Times New Roman"/>
          <w:noProof/>
          <w:sz w:val="22"/>
        </w:rPr>
        <w:t>. SAGE Publications, Inc.</w:t>
      </w:r>
    </w:p>
    <w:p w14:paraId="04423A24" w14:textId="3DE8D412" w:rsidR="007A371B" w:rsidRPr="00320D08" w:rsidRDefault="007A371B" w:rsidP="00320D08">
      <w:pPr>
        <w:widowControl w:val="0"/>
        <w:autoSpaceDE w:val="0"/>
        <w:autoSpaceDN w:val="0"/>
        <w:adjustRightInd w:val="0"/>
        <w:spacing w:line="276" w:lineRule="auto"/>
        <w:ind w:left="709" w:hanging="709"/>
        <w:rPr>
          <w:rFonts w:ascii="Cambria" w:hAnsi="Cambria" w:cs="Times New Roman"/>
          <w:noProof/>
          <w:sz w:val="22"/>
        </w:rPr>
      </w:pPr>
      <w:r w:rsidRPr="00320D08">
        <w:rPr>
          <w:rFonts w:ascii="Cambria" w:hAnsi="Cambria" w:cs="Times New Roman"/>
          <w:noProof/>
          <w:sz w:val="22"/>
        </w:rPr>
        <w:t xml:space="preserve">Dechow, P. M., Sloan, R. G., &amp; Sweeney, A. P. (1995). Detecting Earnings Management. </w:t>
      </w:r>
      <w:r w:rsidRPr="00320D08">
        <w:rPr>
          <w:rFonts w:ascii="Cambria" w:hAnsi="Cambria" w:cs="Times New Roman"/>
          <w:i/>
          <w:iCs/>
          <w:noProof/>
          <w:sz w:val="22"/>
        </w:rPr>
        <w:t>The Accounting Review</w:t>
      </w:r>
      <w:r w:rsidRPr="00320D08">
        <w:rPr>
          <w:rFonts w:ascii="Cambria" w:hAnsi="Cambria" w:cs="Times New Roman"/>
          <w:noProof/>
          <w:sz w:val="22"/>
        </w:rPr>
        <w:t xml:space="preserve">, </w:t>
      </w:r>
      <w:r w:rsidRPr="00320D08">
        <w:rPr>
          <w:rFonts w:ascii="Cambria" w:hAnsi="Cambria" w:cs="Times New Roman"/>
          <w:i/>
          <w:iCs/>
          <w:noProof/>
          <w:sz w:val="22"/>
        </w:rPr>
        <w:t>70</w:t>
      </w:r>
      <w:r w:rsidRPr="00320D08">
        <w:rPr>
          <w:rFonts w:ascii="Cambria" w:hAnsi="Cambria" w:cs="Times New Roman"/>
          <w:noProof/>
          <w:sz w:val="22"/>
        </w:rPr>
        <w:t>(2), 193–225. http://www.jstor.org/stable/248303</w:t>
      </w:r>
    </w:p>
    <w:p w14:paraId="7BBD1D10" w14:textId="6011CE88" w:rsidR="007A371B" w:rsidRPr="00320D08" w:rsidRDefault="007A371B" w:rsidP="00320D08">
      <w:pPr>
        <w:widowControl w:val="0"/>
        <w:autoSpaceDE w:val="0"/>
        <w:autoSpaceDN w:val="0"/>
        <w:adjustRightInd w:val="0"/>
        <w:spacing w:line="276" w:lineRule="auto"/>
        <w:ind w:left="709" w:hanging="709"/>
        <w:rPr>
          <w:rFonts w:ascii="Cambria" w:hAnsi="Cambria" w:cs="Times New Roman"/>
          <w:noProof/>
          <w:sz w:val="22"/>
        </w:rPr>
      </w:pPr>
      <w:r w:rsidRPr="00320D08">
        <w:rPr>
          <w:rFonts w:ascii="Cambria" w:hAnsi="Cambria" w:cs="Times New Roman"/>
          <w:noProof/>
          <w:sz w:val="22"/>
        </w:rPr>
        <w:t xml:space="preserve">Diantari, P. R., &amp; Ulupui, I. G. K. A. (2016). PENGARUH  KOMITE AUDIT, PROPORSI KOMISARIS INDEPENDEN, DAN PROPORSI KEPEMILIKAN INSTITUSIONAL TERHADAP TAX AVOIDANCE. </w:t>
      </w:r>
      <w:r w:rsidRPr="00320D08">
        <w:rPr>
          <w:rFonts w:ascii="Cambria" w:hAnsi="Cambria" w:cs="Times New Roman"/>
          <w:i/>
          <w:iCs/>
          <w:noProof/>
          <w:sz w:val="22"/>
        </w:rPr>
        <w:t>E-Jurnal Akuntansi; Vol 16 No 1 (2016)</w:t>
      </w:r>
      <w:r w:rsidRPr="00320D08">
        <w:rPr>
          <w:rFonts w:ascii="Cambria" w:hAnsi="Cambria" w:cs="Times New Roman"/>
          <w:noProof/>
          <w:sz w:val="22"/>
        </w:rPr>
        <w:t>. https://ojs.unud.ac.id/index.php/Akuntansi/article/view/20664</w:t>
      </w:r>
    </w:p>
    <w:p w14:paraId="2110F28A" w14:textId="1C3D1BB2" w:rsidR="007A371B" w:rsidRPr="00320D08" w:rsidRDefault="007A371B" w:rsidP="00320D08">
      <w:pPr>
        <w:widowControl w:val="0"/>
        <w:autoSpaceDE w:val="0"/>
        <w:autoSpaceDN w:val="0"/>
        <w:adjustRightInd w:val="0"/>
        <w:spacing w:line="276" w:lineRule="auto"/>
        <w:ind w:left="709" w:hanging="709"/>
        <w:rPr>
          <w:rFonts w:ascii="Cambria" w:hAnsi="Cambria" w:cs="Times New Roman"/>
          <w:noProof/>
          <w:sz w:val="22"/>
        </w:rPr>
      </w:pPr>
      <w:r w:rsidRPr="00320D08">
        <w:rPr>
          <w:rFonts w:ascii="Cambria" w:hAnsi="Cambria" w:cs="Times New Roman"/>
          <w:noProof/>
          <w:sz w:val="22"/>
        </w:rPr>
        <w:t xml:space="preserve">Erickson, M., Hanlon, M., &amp; Maydew, E. L. (2005). How Much Will Firms Pay for Earnings That Do Not Exist? Evidence of Taxes Paid on Allegedly Fraudulent Earnings. </w:t>
      </w:r>
      <w:r w:rsidRPr="00320D08">
        <w:rPr>
          <w:rFonts w:ascii="Cambria" w:hAnsi="Cambria" w:cs="Times New Roman"/>
          <w:i/>
          <w:iCs/>
          <w:noProof/>
          <w:sz w:val="22"/>
        </w:rPr>
        <w:t>SSRN Electronic Journal</w:t>
      </w:r>
      <w:r w:rsidRPr="00320D08">
        <w:rPr>
          <w:rFonts w:ascii="Cambria" w:hAnsi="Cambria" w:cs="Times New Roman"/>
          <w:noProof/>
          <w:sz w:val="22"/>
        </w:rPr>
        <w:t>. https://doi.org/10.2139/ssrn.347420</w:t>
      </w:r>
    </w:p>
    <w:p w14:paraId="22355833" w14:textId="2C061213" w:rsidR="007A371B" w:rsidRPr="00320D08" w:rsidRDefault="007A371B" w:rsidP="00320D08">
      <w:pPr>
        <w:widowControl w:val="0"/>
        <w:autoSpaceDE w:val="0"/>
        <w:autoSpaceDN w:val="0"/>
        <w:adjustRightInd w:val="0"/>
        <w:spacing w:line="276" w:lineRule="auto"/>
        <w:ind w:left="709" w:hanging="709"/>
        <w:rPr>
          <w:rFonts w:ascii="Cambria" w:hAnsi="Cambria" w:cs="Times New Roman"/>
          <w:noProof/>
          <w:sz w:val="22"/>
        </w:rPr>
      </w:pPr>
      <w:r w:rsidRPr="00320D08">
        <w:rPr>
          <w:rFonts w:ascii="Cambria" w:hAnsi="Cambria" w:cs="Times New Roman"/>
          <w:noProof/>
          <w:sz w:val="22"/>
        </w:rPr>
        <w:t xml:space="preserve">Frank, M. M., Lynch, L. J., &amp; Rego, S. O. (2009). Tax Reporting Aggressiveness and Its Relation to Aggressive Financial Reporting. </w:t>
      </w:r>
      <w:r w:rsidRPr="00320D08">
        <w:rPr>
          <w:rFonts w:ascii="Cambria" w:hAnsi="Cambria" w:cs="Times New Roman"/>
          <w:i/>
          <w:iCs/>
          <w:noProof/>
          <w:sz w:val="22"/>
        </w:rPr>
        <w:t>The Accounting Review</w:t>
      </w:r>
      <w:r w:rsidRPr="00320D08">
        <w:rPr>
          <w:rFonts w:ascii="Cambria" w:hAnsi="Cambria" w:cs="Times New Roman"/>
          <w:noProof/>
          <w:sz w:val="22"/>
        </w:rPr>
        <w:t xml:space="preserve">, </w:t>
      </w:r>
      <w:r w:rsidRPr="00320D08">
        <w:rPr>
          <w:rFonts w:ascii="Cambria" w:hAnsi="Cambria" w:cs="Times New Roman"/>
          <w:i/>
          <w:iCs/>
          <w:noProof/>
          <w:sz w:val="22"/>
        </w:rPr>
        <w:t>84</w:t>
      </w:r>
      <w:r w:rsidRPr="00320D08">
        <w:rPr>
          <w:rFonts w:ascii="Cambria" w:hAnsi="Cambria" w:cs="Times New Roman"/>
          <w:noProof/>
          <w:sz w:val="22"/>
        </w:rPr>
        <w:t>(2), 467–496. http://www.jstor.org/stable/27802660</w:t>
      </w:r>
    </w:p>
    <w:p w14:paraId="73855B9D" w14:textId="6603AD73" w:rsidR="007A371B" w:rsidRPr="00320D08" w:rsidRDefault="007A371B" w:rsidP="00320D08">
      <w:pPr>
        <w:widowControl w:val="0"/>
        <w:autoSpaceDE w:val="0"/>
        <w:autoSpaceDN w:val="0"/>
        <w:adjustRightInd w:val="0"/>
        <w:spacing w:line="276" w:lineRule="auto"/>
        <w:ind w:left="709" w:hanging="709"/>
        <w:rPr>
          <w:rFonts w:ascii="Cambria" w:hAnsi="Cambria" w:cs="Times New Roman"/>
          <w:noProof/>
          <w:sz w:val="22"/>
        </w:rPr>
      </w:pPr>
      <w:r w:rsidRPr="00320D08">
        <w:rPr>
          <w:rFonts w:ascii="Cambria" w:hAnsi="Cambria" w:cs="Times New Roman"/>
          <w:noProof/>
          <w:sz w:val="22"/>
        </w:rPr>
        <w:t xml:space="preserve">Geraldina, I. (2013). Preferensi Manajemen Laba Akrual Atau Manajemen Laba Riil Dalam Aktivitas Tax Shelter. </w:t>
      </w:r>
      <w:r w:rsidRPr="00320D08">
        <w:rPr>
          <w:rFonts w:ascii="Cambria" w:hAnsi="Cambria" w:cs="Times New Roman"/>
          <w:i/>
          <w:iCs/>
          <w:noProof/>
          <w:sz w:val="22"/>
        </w:rPr>
        <w:t>Jurnal Akuntansi Dan Keuangan Indonesia</w:t>
      </w:r>
      <w:r w:rsidRPr="00320D08">
        <w:rPr>
          <w:rFonts w:ascii="Cambria" w:hAnsi="Cambria" w:cs="Times New Roman"/>
          <w:noProof/>
          <w:sz w:val="22"/>
        </w:rPr>
        <w:t xml:space="preserve">, </w:t>
      </w:r>
      <w:r w:rsidRPr="00320D08">
        <w:rPr>
          <w:rFonts w:ascii="Cambria" w:hAnsi="Cambria" w:cs="Times New Roman"/>
          <w:i/>
          <w:iCs/>
          <w:noProof/>
          <w:sz w:val="22"/>
        </w:rPr>
        <w:t>10</w:t>
      </w:r>
      <w:r w:rsidRPr="00320D08">
        <w:rPr>
          <w:rFonts w:ascii="Cambria" w:hAnsi="Cambria" w:cs="Times New Roman"/>
          <w:noProof/>
          <w:sz w:val="22"/>
        </w:rPr>
        <w:t>(2), 206–224. https://doi.org/10.21002/jaki.2013.11</w:t>
      </w:r>
    </w:p>
    <w:p w14:paraId="5E1893FD" w14:textId="633CC95A" w:rsidR="007A371B" w:rsidRPr="00320D08" w:rsidRDefault="007A371B" w:rsidP="00320D08">
      <w:pPr>
        <w:widowControl w:val="0"/>
        <w:autoSpaceDE w:val="0"/>
        <w:autoSpaceDN w:val="0"/>
        <w:adjustRightInd w:val="0"/>
        <w:spacing w:line="276" w:lineRule="auto"/>
        <w:ind w:left="709" w:hanging="709"/>
        <w:rPr>
          <w:rFonts w:ascii="Cambria" w:hAnsi="Cambria" w:cs="Times New Roman"/>
          <w:noProof/>
          <w:sz w:val="22"/>
        </w:rPr>
      </w:pPr>
      <w:r w:rsidRPr="00320D08">
        <w:rPr>
          <w:rFonts w:ascii="Cambria" w:hAnsi="Cambria" w:cs="Times New Roman"/>
          <w:noProof/>
          <w:sz w:val="22"/>
        </w:rPr>
        <w:t xml:space="preserve">Ghozali, I. (2016). Aplikasi Analisis Multivariate dengan Program SPSS. Semarang: Badan Penerbit UNDIP. </w:t>
      </w:r>
      <w:r w:rsidRPr="00320D08">
        <w:rPr>
          <w:rFonts w:ascii="Cambria" w:hAnsi="Cambria" w:cs="Times New Roman"/>
          <w:i/>
          <w:iCs/>
          <w:noProof/>
          <w:sz w:val="22"/>
        </w:rPr>
        <w:t>Analisis Multivariate Dengan Program SPSS</w:t>
      </w:r>
      <w:r w:rsidRPr="00320D08">
        <w:rPr>
          <w:rFonts w:ascii="Cambria" w:hAnsi="Cambria" w:cs="Times New Roman"/>
          <w:noProof/>
          <w:sz w:val="22"/>
        </w:rPr>
        <w:t>.</w:t>
      </w:r>
    </w:p>
    <w:p w14:paraId="6FF237C9" w14:textId="504EADAE" w:rsidR="007A371B" w:rsidRPr="00320D08" w:rsidRDefault="007A371B" w:rsidP="00320D08">
      <w:pPr>
        <w:widowControl w:val="0"/>
        <w:autoSpaceDE w:val="0"/>
        <w:autoSpaceDN w:val="0"/>
        <w:adjustRightInd w:val="0"/>
        <w:spacing w:line="276" w:lineRule="auto"/>
        <w:ind w:left="709" w:hanging="709"/>
        <w:rPr>
          <w:rFonts w:ascii="Cambria" w:hAnsi="Cambria" w:cs="Times New Roman"/>
          <w:noProof/>
          <w:sz w:val="22"/>
        </w:rPr>
      </w:pPr>
      <w:r w:rsidRPr="00320D08">
        <w:rPr>
          <w:rFonts w:ascii="Cambria" w:hAnsi="Cambria" w:cs="Times New Roman"/>
          <w:noProof/>
          <w:sz w:val="22"/>
        </w:rPr>
        <w:t xml:space="preserve">Gujarati, D. N. (2012). Dasar-dasar Ekonometrika book 2. In </w:t>
      </w:r>
      <w:r w:rsidRPr="00320D08">
        <w:rPr>
          <w:rFonts w:ascii="Cambria" w:hAnsi="Cambria" w:cs="Times New Roman"/>
          <w:i/>
          <w:iCs/>
          <w:noProof/>
          <w:sz w:val="22"/>
        </w:rPr>
        <w:t>Salemba Empat</w:t>
      </w:r>
      <w:r w:rsidRPr="00320D08">
        <w:rPr>
          <w:rFonts w:ascii="Cambria" w:hAnsi="Cambria" w:cs="Times New Roman"/>
          <w:noProof/>
          <w:sz w:val="22"/>
        </w:rPr>
        <w:t>.</w:t>
      </w:r>
    </w:p>
    <w:p w14:paraId="63B10178" w14:textId="7133CEAC" w:rsidR="00887373" w:rsidRPr="00320D08" w:rsidRDefault="00887373" w:rsidP="00320D08">
      <w:pPr>
        <w:widowControl w:val="0"/>
        <w:autoSpaceDE w:val="0"/>
        <w:autoSpaceDN w:val="0"/>
        <w:adjustRightInd w:val="0"/>
        <w:spacing w:line="276" w:lineRule="auto"/>
        <w:ind w:left="709" w:hanging="709"/>
        <w:rPr>
          <w:rFonts w:ascii="Cambria" w:hAnsi="Cambria" w:cs="Times New Roman"/>
          <w:noProof/>
          <w:color w:val="000000" w:themeColor="text1"/>
          <w:sz w:val="22"/>
        </w:rPr>
      </w:pPr>
      <w:r w:rsidRPr="00320D08">
        <w:rPr>
          <w:rFonts w:ascii="Cambria" w:hAnsi="Cambria" w:cs="Times New Roman"/>
          <w:color w:val="000000" w:themeColor="text1"/>
          <w:sz w:val="22"/>
          <w:shd w:val="clear" w:color="auto" w:fill="EEEEEE"/>
        </w:rPr>
        <w:t>Hakim Darmadi, I. N., &amp; Zulaikha, Z. (2013). ANALISIS FAKTOR YANG MEMPENGARUHI MANAJEMEN PAJAK DENGAN INDIKATOR TARIF PAJAK EFEKTIF (STUDI EMPIRIS PADA PERUSAHAAN MANUFAKTUR YANG TERDAFTAR DI BURSA EFEK INDONESIA PADA TAHUN 2011-2012). </w:t>
      </w:r>
      <w:r w:rsidRPr="00320D08">
        <w:rPr>
          <w:rStyle w:val="Emphasis"/>
          <w:rFonts w:ascii="Cambria" w:hAnsi="Cambria" w:cs="Times New Roman"/>
          <w:color w:val="000000" w:themeColor="text1"/>
          <w:sz w:val="22"/>
        </w:rPr>
        <w:t>Diponegoro Journal of Accounting, 0</w:t>
      </w:r>
      <w:r w:rsidRPr="00320D08">
        <w:rPr>
          <w:rFonts w:ascii="Cambria" w:hAnsi="Cambria" w:cs="Times New Roman"/>
          <w:color w:val="000000" w:themeColor="text1"/>
          <w:sz w:val="22"/>
          <w:shd w:val="clear" w:color="auto" w:fill="EEEEEE"/>
        </w:rPr>
        <w:t>, 368-379. Retrieved from </w:t>
      </w:r>
      <w:hyperlink r:id="rId22" w:tgtFrame="_new" w:history="1">
        <w:r w:rsidRPr="00320D08">
          <w:rPr>
            <w:rStyle w:val="Hyperlink"/>
            <w:rFonts w:ascii="Cambria" w:hAnsi="Cambria" w:cs="Times New Roman"/>
            <w:color w:val="000000" w:themeColor="text1"/>
            <w:sz w:val="22"/>
            <w:u w:val="none"/>
          </w:rPr>
          <w:t>https://ejournal3.undip.ac.id/index.php/accounting/article/view/5948</w:t>
        </w:r>
      </w:hyperlink>
    </w:p>
    <w:p w14:paraId="1DA3D69A" w14:textId="588E58DF" w:rsidR="007A371B" w:rsidRPr="00320D08" w:rsidRDefault="007A371B" w:rsidP="00320D08">
      <w:pPr>
        <w:widowControl w:val="0"/>
        <w:autoSpaceDE w:val="0"/>
        <w:autoSpaceDN w:val="0"/>
        <w:adjustRightInd w:val="0"/>
        <w:spacing w:line="276" w:lineRule="auto"/>
        <w:ind w:left="709" w:hanging="709"/>
        <w:rPr>
          <w:rFonts w:ascii="Cambria" w:hAnsi="Cambria" w:cs="Times New Roman"/>
          <w:noProof/>
          <w:sz w:val="22"/>
        </w:rPr>
      </w:pPr>
      <w:r w:rsidRPr="00320D08">
        <w:rPr>
          <w:rFonts w:ascii="Cambria" w:hAnsi="Cambria" w:cs="Times New Roman"/>
          <w:noProof/>
          <w:sz w:val="22"/>
        </w:rPr>
        <w:t xml:space="preserve">Hanlon, M., &amp; Heitzman, S. (2010). A review of tax research. </w:t>
      </w:r>
      <w:r w:rsidRPr="00320D08">
        <w:rPr>
          <w:rFonts w:ascii="Cambria" w:hAnsi="Cambria" w:cs="Times New Roman"/>
          <w:i/>
          <w:iCs/>
          <w:noProof/>
          <w:sz w:val="22"/>
        </w:rPr>
        <w:t>Journal of Accounting and Economics</w:t>
      </w:r>
      <w:r w:rsidRPr="00320D08">
        <w:rPr>
          <w:rFonts w:ascii="Cambria" w:hAnsi="Cambria" w:cs="Times New Roman"/>
          <w:noProof/>
          <w:sz w:val="22"/>
        </w:rPr>
        <w:t xml:space="preserve">, </w:t>
      </w:r>
      <w:r w:rsidRPr="00320D08">
        <w:rPr>
          <w:rFonts w:ascii="Cambria" w:hAnsi="Cambria" w:cs="Times New Roman"/>
          <w:i/>
          <w:iCs/>
          <w:noProof/>
          <w:sz w:val="22"/>
        </w:rPr>
        <w:t>50</w:t>
      </w:r>
      <w:r w:rsidRPr="00320D08">
        <w:rPr>
          <w:rFonts w:ascii="Cambria" w:hAnsi="Cambria" w:cs="Times New Roman"/>
          <w:noProof/>
          <w:sz w:val="22"/>
        </w:rPr>
        <w:t>(2–3), 127–178. https://doi.org/10.1016/j.jacceco.2010.09.002</w:t>
      </w:r>
    </w:p>
    <w:p w14:paraId="316C94A2" w14:textId="2E3BC518" w:rsidR="007A371B" w:rsidRPr="00320D08" w:rsidRDefault="007A371B" w:rsidP="00320D08">
      <w:pPr>
        <w:widowControl w:val="0"/>
        <w:autoSpaceDE w:val="0"/>
        <w:autoSpaceDN w:val="0"/>
        <w:adjustRightInd w:val="0"/>
        <w:spacing w:line="276" w:lineRule="auto"/>
        <w:ind w:left="709" w:hanging="709"/>
        <w:rPr>
          <w:rFonts w:ascii="Cambria" w:hAnsi="Cambria" w:cs="Times New Roman"/>
          <w:noProof/>
          <w:sz w:val="22"/>
        </w:rPr>
      </w:pPr>
      <w:r w:rsidRPr="00320D08">
        <w:rPr>
          <w:rFonts w:ascii="Cambria" w:hAnsi="Cambria" w:cs="Times New Roman"/>
          <w:noProof/>
          <w:sz w:val="22"/>
        </w:rPr>
        <w:t xml:space="preserve">Healy, P. M. (1985). The effect of bonus schemes on accounting decisions. </w:t>
      </w:r>
      <w:r w:rsidRPr="00320D08">
        <w:rPr>
          <w:rFonts w:ascii="Cambria" w:hAnsi="Cambria" w:cs="Times New Roman"/>
          <w:i/>
          <w:iCs/>
          <w:noProof/>
          <w:sz w:val="22"/>
        </w:rPr>
        <w:t>Journal of Accounting and Economics</w:t>
      </w:r>
      <w:r w:rsidRPr="00320D08">
        <w:rPr>
          <w:rFonts w:ascii="Cambria" w:hAnsi="Cambria" w:cs="Times New Roman"/>
          <w:noProof/>
          <w:sz w:val="22"/>
        </w:rPr>
        <w:t xml:space="preserve">, </w:t>
      </w:r>
      <w:r w:rsidRPr="00320D08">
        <w:rPr>
          <w:rFonts w:ascii="Cambria" w:hAnsi="Cambria" w:cs="Times New Roman"/>
          <w:i/>
          <w:iCs/>
          <w:noProof/>
          <w:sz w:val="22"/>
        </w:rPr>
        <w:t>7</w:t>
      </w:r>
      <w:r w:rsidRPr="00320D08">
        <w:rPr>
          <w:rFonts w:ascii="Cambria" w:hAnsi="Cambria" w:cs="Times New Roman"/>
          <w:noProof/>
          <w:sz w:val="22"/>
        </w:rPr>
        <w:t>(1–3), 85–107. https://doi.org/10.1016/0165-4101(85)90029-1</w:t>
      </w:r>
    </w:p>
    <w:p w14:paraId="2D8ED7A8" w14:textId="2DD9C04C" w:rsidR="007A371B" w:rsidRPr="00320D08" w:rsidRDefault="007A371B" w:rsidP="00320D08">
      <w:pPr>
        <w:widowControl w:val="0"/>
        <w:autoSpaceDE w:val="0"/>
        <w:autoSpaceDN w:val="0"/>
        <w:adjustRightInd w:val="0"/>
        <w:spacing w:line="276" w:lineRule="auto"/>
        <w:ind w:left="709" w:hanging="709"/>
        <w:rPr>
          <w:rFonts w:ascii="Cambria" w:hAnsi="Cambria" w:cs="Times New Roman"/>
          <w:noProof/>
          <w:sz w:val="22"/>
        </w:rPr>
      </w:pPr>
      <w:r w:rsidRPr="00320D08">
        <w:rPr>
          <w:rFonts w:ascii="Cambria" w:hAnsi="Cambria" w:cs="Times New Roman"/>
          <w:noProof/>
          <w:sz w:val="22"/>
        </w:rPr>
        <w:t xml:space="preserve">Irawan, F., Kinanti, A., &amp; Suhendra, M. (2020). The Impact of Transfer Pricing and Earning Management on Tax Avoidance. </w:t>
      </w:r>
      <w:r w:rsidRPr="00320D08">
        <w:rPr>
          <w:rFonts w:ascii="Cambria" w:hAnsi="Cambria" w:cs="Times New Roman"/>
          <w:i/>
          <w:iCs/>
          <w:noProof/>
          <w:sz w:val="22"/>
        </w:rPr>
        <w:t>Talent Development &amp; Excellence</w:t>
      </w:r>
      <w:r w:rsidRPr="00320D08">
        <w:rPr>
          <w:rFonts w:ascii="Cambria" w:hAnsi="Cambria" w:cs="Times New Roman"/>
          <w:noProof/>
          <w:sz w:val="22"/>
        </w:rPr>
        <w:t xml:space="preserve">, </w:t>
      </w:r>
      <w:r w:rsidRPr="00320D08">
        <w:rPr>
          <w:rFonts w:ascii="Cambria" w:hAnsi="Cambria" w:cs="Times New Roman"/>
          <w:i/>
          <w:iCs/>
          <w:noProof/>
          <w:sz w:val="22"/>
        </w:rPr>
        <w:t>12</w:t>
      </w:r>
      <w:r w:rsidRPr="00320D08">
        <w:rPr>
          <w:rFonts w:ascii="Cambria" w:hAnsi="Cambria" w:cs="Times New Roman"/>
          <w:noProof/>
          <w:sz w:val="22"/>
        </w:rPr>
        <w:t>(September), 3203–3216.</w:t>
      </w:r>
      <w:r w:rsidR="00A06DFB" w:rsidRPr="00320D08">
        <w:rPr>
          <w:rFonts w:ascii="Cambria" w:hAnsi="Cambria" w:cs="Times New Roman"/>
          <w:noProof/>
          <w:sz w:val="22"/>
        </w:rPr>
        <w:t xml:space="preserve"> </w:t>
      </w:r>
      <w:r w:rsidRPr="00320D08">
        <w:rPr>
          <w:rFonts w:ascii="Cambria" w:hAnsi="Cambria" w:cs="Times New Roman"/>
          <w:noProof/>
          <w:sz w:val="22"/>
        </w:rPr>
        <w:t>http://search.ebscohost.com/login.aspx?direct=true&amp;db=s3h&amp;AN=144289767&amp;lang=ja&amp;site=ehost-live</w:t>
      </w:r>
    </w:p>
    <w:p w14:paraId="5BF40279" w14:textId="325453BC" w:rsidR="007A371B" w:rsidRPr="00320D08" w:rsidRDefault="007A371B" w:rsidP="00320D08">
      <w:pPr>
        <w:widowControl w:val="0"/>
        <w:autoSpaceDE w:val="0"/>
        <w:autoSpaceDN w:val="0"/>
        <w:adjustRightInd w:val="0"/>
        <w:spacing w:line="276" w:lineRule="auto"/>
        <w:ind w:left="709" w:hanging="709"/>
        <w:rPr>
          <w:rFonts w:ascii="Cambria" w:hAnsi="Cambria" w:cs="Times New Roman"/>
          <w:noProof/>
          <w:sz w:val="22"/>
        </w:rPr>
      </w:pPr>
      <w:r w:rsidRPr="00320D08">
        <w:rPr>
          <w:rFonts w:ascii="Cambria" w:hAnsi="Cambria" w:cs="Times New Roman"/>
          <w:noProof/>
          <w:sz w:val="22"/>
        </w:rPr>
        <w:t xml:space="preserve">Jensen, M. C., &amp; Meckling, W. H. (2019). Theory of the firm: Managerial behavior, agency costs and ownership structure. </w:t>
      </w:r>
      <w:r w:rsidRPr="00320D08">
        <w:rPr>
          <w:rFonts w:ascii="Cambria" w:hAnsi="Cambria" w:cs="Times New Roman"/>
          <w:i/>
          <w:iCs/>
          <w:noProof/>
          <w:sz w:val="22"/>
        </w:rPr>
        <w:t>Corporate Governance: Values, Ethics and Leadership</w:t>
      </w:r>
      <w:r w:rsidRPr="00320D08">
        <w:rPr>
          <w:rFonts w:ascii="Cambria" w:hAnsi="Cambria" w:cs="Times New Roman"/>
          <w:noProof/>
          <w:sz w:val="22"/>
        </w:rPr>
        <w:t>, 77–132. https://doi.org/10.2139/ssrn.94043</w:t>
      </w:r>
    </w:p>
    <w:p w14:paraId="3B0FCFDF" w14:textId="134A4F0F" w:rsidR="007A371B" w:rsidRPr="00320D08" w:rsidRDefault="007A371B" w:rsidP="00320D08">
      <w:pPr>
        <w:widowControl w:val="0"/>
        <w:autoSpaceDE w:val="0"/>
        <w:autoSpaceDN w:val="0"/>
        <w:adjustRightInd w:val="0"/>
        <w:spacing w:line="276" w:lineRule="auto"/>
        <w:ind w:left="709" w:hanging="709"/>
        <w:rPr>
          <w:rFonts w:ascii="Cambria" w:hAnsi="Cambria" w:cs="Times New Roman"/>
          <w:noProof/>
          <w:sz w:val="22"/>
        </w:rPr>
      </w:pPr>
      <w:r w:rsidRPr="00320D08">
        <w:rPr>
          <w:rFonts w:ascii="Cambria" w:hAnsi="Cambria" w:cs="Times New Roman"/>
          <w:noProof/>
          <w:sz w:val="22"/>
        </w:rPr>
        <w:t xml:space="preserve">Jones, J. J. (1991). Earnings Management During Import Relief Investigations. </w:t>
      </w:r>
      <w:r w:rsidRPr="00320D08">
        <w:rPr>
          <w:rFonts w:ascii="Cambria" w:hAnsi="Cambria" w:cs="Times New Roman"/>
          <w:i/>
          <w:iCs/>
          <w:noProof/>
          <w:sz w:val="22"/>
        </w:rPr>
        <w:t xml:space="preserve">Journal of </w:t>
      </w:r>
      <w:r w:rsidRPr="00320D08">
        <w:rPr>
          <w:rFonts w:ascii="Cambria" w:hAnsi="Cambria" w:cs="Times New Roman"/>
          <w:i/>
          <w:iCs/>
          <w:noProof/>
          <w:sz w:val="22"/>
        </w:rPr>
        <w:lastRenderedPageBreak/>
        <w:t>Accounting Research</w:t>
      </w:r>
      <w:r w:rsidRPr="00320D08">
        <w:rPr>
          <w:rFonts w:ascii="Cambria" w:hAnsi="Cambria" w:cs="Times New Roman"/>
          <w:noProof/>
          <w:sz w:val="22"/>
        </w:rPr>
        <w:t xml:space="preserve">, </w:t>
      </w:r>
      <w:r w:rsidRPr="00320D08">
        <w:rPr>
          <w:rFonts w:ascii="Cambria" w:hAnsi="Cambria" w:cs="Times New Roman"/>
          <w:i/>
          <w:iCs/>
          <w:noProof/>
          <w:sz w:val="22"/>
        </w:rPr>
        <w:t>29</w:t>
      </w:r>
      <w:r w:rsidRPr="00320D08">
        <w:rPr>
          <w:rFonts w:ascii="Cambria" w:hAnsi="Cambria" w:cs="Times New Roman"/>
          <w:noProof/>
          <w:sz w:val="22"/>
        </w:rPr>
        <w:t>(2), 193–228. https://doi.org/10.2307/2491047</w:t>
      </w:r>
    </w:p>
    <w:p w14:paraId="68A677C6" w14:textId="1727237B" w:rsidR="007A371B" w:rsidRPr="00320D08" w:rsidRDefault="007A371B" w:rsidP="00320D08">
      <w:pPr>
        <w:widowControl w:val="0"/>
        <w:autoSpaceDE w:val="0"/>
        <w:autoSpaceDN w:val="0"/>
        <w:adjustRightInd w:val="0"/>
        <w:spacing w:line="276" w:lineRule="auto"/>
        <w:ind w:left="709" w:hanging="709"/>
        <w:rPr>
          <w:rFonts w:ascii="Cambria" w:hAnsi="Cambria" w:cs="Times New Roman"/>
          <w:noProof/>
          <w:sz w:val="22"/>
        </w:rPr>
      </w:pPr>
      <w:r w:rsidRPr="00320D08">
        <w:rPr>
          <w:rFonts w:ascii="Cambria" w:hAnsi="Cambria" w:cs="Times New Roman"/>
          <w:noProof/>
          <w:sz w:val="22"/>
        </w:rPr>
        <w:t xml:space="preserve">Kemenkeu. (2021). Anggaran Pendapatan dan Belanja Negara 2021. </w:t>
      </w:r>
      <w:r w:rsidRPr="00320D08">
        <w:rPr>
          <w:rFonts w:ascii="Cambria" w:hAnsi="Cambria" w:cs="Times New Roman"/>
          <w:i/>
          <w:iCs/>
          <w:noProof/>
          <w:sz w:val="22"/>
        </w:rPr>
        <w:t>Kementerian Keuangan Direktorat Jenderal Anggaran</w:t>
      </w:r>
      <w:r w:rsidRPr="00320D08">
        <w:rPr>
          <w:rFonts w:ascii="Cambria" w:hAnsi="Cambria" w:cs="Times New Roman"/>
          <w:noProof/>
          <w:sz w:val="22"/>
        </w:rPr>
        <w:t>, 1–48. https://www.pajak.go.id/id/artikel/mengenal-insentif-pajak-di-tengah-wabah-covid-19#:~:text=Pemberian fasilitas ini diberikan melalui,22 Impor kepada wajib pajak.&amp;text=Ketiga adalah PPh Pasal 25,selama 6 bulan ke depan.</w:t>
      </w:r>
    </w:p>
    <w:p w14:paraId="554DD7FF" w14:textId="5CEC20E3" w:rsidR="007A371B" w:rsidRPr="00320D08" w:rsidRDefault="007A371B" w:rsidP="00320D08">
      <w:pPr>
        <w:widowControl w:val="0"/>
        <w:autoSpaceDE w:val="0"/>
        <w:autoSpaceDN w:val="0"/>
        <w:adjustRightInd w:val="0"/>
        <w:spacing w:line="276" w:lineRule="auto"/>
        <w:ind w:left="709" w:hanging="709"/>
        <w:rPr>
          <w:rFonts w:ascii="Cambria" w:hAnsi="Cambria" w:cs="Times New Roman"/>
          <w:noProof/>
          <w:sz w:val="22"/>
        </w:rPr>
      </w:pPr>
      <w:r w:rsidRPr="00320D08">
        <w:rPr>
          <w:rFonts w:ascii="Cambria" w:hAnsi="Cambria" w:cs="Times New Roman"/>
          <w:noProof/>
          <w:sz w:val="22"/>
        </w:rPr>
        <w:t xml:space="preserve">Keown, A. J., Petty, W. J., Scott, D. F., &amp; Martin Jr, J. D. (2005). </w:t>
      </w:r>
      <w:r w:rsidRPr="00320D08">
        <w:rPr>
          <w:rFonts w:ascii="Cambria" w:hAnsi="Cambria" w:cs="Times New Roman"/>
          <w:i/>
          <w:iCs/>
          <w:noProof/>
          <w:sz w:val="22"/>
        </w:rPr>
        <w:t>Dasar-Dasar Manajemen Keuangan</w:t>
      </w:r>
      <w:r w:rsidRPr="00320D08">
        <w:rPr>
          <w:rFonts w:ascii="Cambria" w:hAnsi="Cambria" w:cs="Times New Roman"/>
          <w:noProof/>
          <w:sz w:val="22"/>
        </w:rPr>
        <w:t>. Penerbit Salemba Empat.</w:t>
      </w:r>
    </w:p>
    <w:p w14:paraId="26642F26" w14:textId="4800682F" w:rsidR="007A371B" w:rsidRPr="00320D08" w:rsidRDefault="007A371B" w:rsidP="00320D08">
      <w:pPr>
        <w:widowControl w:val="0"/>
        <w:autoSpaceDE w:val="0"/>
        <w:autoSpaceDN w:val="0"/>
        <w:adjustRightInd w:val="0"/>
        <w:spacing w:line="276" w:lineRule="auto"/>
        <w:ind w:left="709" w:hanging="709"/>
        <w:rPr>
          <w:rFonts w:ascii="Cambria" w:hAnsi="Cambria" w:cs="Times New Roman"/>
          <w:noProof/>
          <w:sz w:val="22"/>
        </w:rPr>
      </w:pPr>
      <w:r w:rsidRPr="00320D08">
        <w:rPr>
          <w:rFonts w:ascii="Cambria" w:hAnsi="Cambria" w:cs="Times New Roman"/>
          <w:noProof/>
          <w:sz w:val="22"/>
        </w:rPr>
        <w:t xml:space="preserve">Lanis, R., &amp; Richardson, G. (2013). Corporate social responsibility and tax aggressiveness: a test of legitimacy theory. </w:t>
      </w:r>
      <w:r w:rsidRPr="00320D08">
        <w:rPr>
          <w:rFonts w:ascii="Cambria" w:hAnsi="Cambria" w:cs="Times New Roman"/>
          <w:i/>
          <w:iCs/>
          <w:noProof/>
          <w:sz w:val="22"/>
        </w:rPr>
        <w:t>Accounting, Auditing &amp; Accountability Journal</w:t>
      </w:r>
      <w:r w:rsidRPr="00320D08">
        <w:rPr>
          <w:rFonts w:ascii="Cambria" w:hAnsi="Cambria" w:cs="Times New Roman"/>
          <w:noProof/>
          <w:sz w:val="22"/>
        </w:rPr>
        <w:t xml:space="preserve">, </w:t>
      </w:r>
      <w:r w:rsidRPr="00320D08">
        <w:rPr>
          <w:rFonts w:ascii="Cambria" w:hAnsi="Cambria" w:cs="Times New Roman"/>
          <w:i/>
          <w:iCs/>
          <w:noProof/>
          <w:sz w:val="22"/>
        </w:rPr>
        <w:t>26</w:t>
      </w:r>
      <w:r w:rsidRPr="00320D08">
        <w:rPr>
          <w:rFonts w:ascii="Cambria" w:hAnsi="Cambria" w:cs="Times New Roman"/>
          <w:noProof/>
          <w:sz w:val="22"/>
        </w:rPr>
        <w:t>(1), 75–100. https://doi.org/10.1108/09513571311285621</w:t>
      </w:r>
    </w:p>
    <w:p w14:paraId="6C7192A7" w14:textId="6D9752F9" w:rsidR="007A371B" w:rsidRPr="00320D08" w:rsidRDefault="007A371B" w:rsidP="00320D08">
      <w:pPr>
        <w:widowControl w:val="0"/>
        <w:autoSpaceDE w:val="0"/>
        <w:autoSpaceDN w:val="0"/>
        <w:adjustRightInd w:val="0"/>
        <w:spacing w:line="276" w:lineRule="auto"/>
        <w:ind w:left="709" w:hanging="709"/>
        <w:rPr>
          <w:rFonts w:ascii="Cambria" w:hAnsi="Cambria" w:cs="Times New Roman"/>
          <w:noProof/>
          <w:sz w:val="22"/>
        </w:rPr>
      </w:pPr>
      <w:r w:rsidRPr="00320D08">
        <w:rPr>
          <w:rFonts w:ascii="Cambria" w:hAnsi="Cambria" w:cs="Times New Roman"/>
          <w:noProof/>
          <w:sz w:val="22"/>
        </w:rPr>
        <w:t xml:space="preserve">Leuz, C., Nanda, D., &amp; Wysocki, P. D. (2003). Earnings management and investor protection: an international comparison. </w:t>
      </w:r>
      <w:r w:rsidRPr="00320D08">
        <w:rPr>
          <w:rFonts w:ascii="Cambria" w:hAnsi="Cambria" w:cs="Times New Roman"/>
          <w:i/>
          <w:iCs/>
          <w:noProof/>
          <w:sz w:val="22"/>
        </w:rPr>
        <w:t>Journal of Financial Economics</w:t>
      </w:r>
      <w:r w:rsidRPr="00320D08">
        <w:rPr>
          <w:rFonts w:ascii="Cambria" w:hAnsi="Cambria" w:cs="Times New Roman"/>
          <w:noProof/>
          <w:sz w:val="22"/>
        </w:rPr>
        <w:t xml:space="preserve">, </w:t>
      </w:r>
      <w:r w:rsidRPr="00320D08">
        <w:rPr>
          <w:rFonts w:ascii="Cambria" w:hAnsi="Cambria" w:cs="Times New Roman"/>
          <w:i/>
          <w:iCs/>
          <w:noProof/>
          <w:sz w:val="22"/>
        </w:rPr>
        <w:t>69</w:t>
      </w:r>
      <w:r w:rsidRPr="00320D08">
        <w:rPr>
          <w:rFonts w:ascii="Cambria" w:hAnsi="Cambria" w:cs="Times New Roman"/>
          <w:noProof/>
          <w:sz w:val="22"/>
        </w:rPr>
        <w:t>(3), 505–527. https://doi.org/https://doi.org/10.1016/S0304-405X(03)00121-1</w:t>
      </w:r>
    </w:p>
    <w:p w14:paraId="5C14064E" w14:textId="51396907" w:rsidR="007A371B" w:rsidRPr="00320D08" w:rsidRDefault="007A371B" w:rsidP="00320D08">
      <w:pPr>
        <w:widowControl w:val="0"/>
        <w:autoSpaceDE w:val="0"/>
        <w:autoSpaceDN w:val="0"/>
        <w:adjustRightInd w:val="0"/>
        <w:spacing w:line="276" w:lineRule="auto"/>
        <w:ind w:left="709" w:hanging="709"/>
        <w:rPr>
          <w:rFonts w:ascii="Cambria" w:hAnsi="Cambria" w:cs="Times New Roman"/>
          <w:noProof/>
          <w:sz w:val="22"/>
        </w:rPr>
      </w:pPr>
      <w:r w:rsidRPr="00320D08">
        <w:rPr>
          <w:rFonts w:ascii="Cambria" w:hAnsi="Cambria" w:cs="Times New Roman"/>
          <w:noProof/>
          <w:sz w:val="22"/>
        </w:rPr>
        <w:t xml:space="preserve">Mustanda, I. K., &amp; Suwardika, I. N. A. (2017). Pengaruh Leverage, Ukuran Perusahaan, Pertumbuhan Perusahaan, Dan Profitabilitas Terhadap Nilai Perusahaan Pada Perusahaan Properti. </w:t>
      </w:r>
      <w:r w:rsidRPr="00320D08">
        <w:rPr>
          <w:rFonts w:ascii="Cambria" w:hAnsi="Cambria" w:cs="Times New Roman"/>
          <w:i/>
          <w:iCs/>
          <w:noProof/>
          <w:sz w:val="22"/>
        </w:rPr>
        <w:t>None</w:t>
      </w:r>
      <w:r w:rsidRPr="00320D08">
        <w:rPr>
          <w:rFonts w:ascii="Cambria" w:hAnsi="Cambria" w:cs="Times New Roman"/>
          <w:noProof/>
          <w:sz w:val="22"/>
        </w:rPr>
        <w:t xml:space="preserve">, </w:t>
      </w:r>
      <w:r w:rsidRPr="00320D08">
        <w:rPr>
          <w:rFonts w:ascii="Cambria" w:hAnsi="Cambria" w:cs="Times New Roman"/>
          <w:i/>
          <w:iCs/>
          <w:noProof/>
          <w:sz w:val="22"/>
        </w:rPr>
        <w:t>6</w:t>
      </w:r>
      <w:r w:rsidRPr="00320D08">
        <w:rPr>
          <w:rFonts w:ascii="Cambria" w:hAnsi="Cambria" w:cs="Times New Roman"/>
          <w:noProof/>
          <w:sz w:val="22"/>
        </w:rPr>
        <w:t>(3), 254488.</w:t>
      </w:r>
    </w:p>
    <w:p w14:paraId="0742BF12" w14:textId="5DAA6EA9" w:rsidR="007A371B" w:rsidRPr="00320D08" w:rsidRDefault="007A371B" w:rsidP="00320D08">
      <w:pPr>
        <w:widowControl w:val="0"/>
        <w:autoSpaceDE w:val="0"/>
        <w:autoSpaceDN w:val="0"/>
        <w:adjustRightInd w:val="0"/>
        <w:spacing w:line="276" w:lineRule="auto"/>
        <w:ind w:left="709" w:hanging="709"/>
        <w:rPr>
          <w:rFonts w:ascii="Cambria" w:hAnsi="Cambria" w:cs="Times New Roman"/>
          <w:noProof/>
          <w:sz w:val="22"/>
        </w:rPr>
      </w:pPr>
      <w:r w:rsidRPr="00320D08">
        <w:rPr>
          <w:rFonts w:ascii="Cambria" w:hAnsi="Cambria" w:cs="Times New Roman"/>
          <w:noProof/>
          <w:sz w:val="22"/>
        </w:rPr>
        <w:t xml:space="preserve">Pajriyansyah, R.-, &amp; Firmansyah, A.-. (2017). Pengaruh Leverage, Kompensasi Rugi Fiskal Dan Manajemen Laba Terhadap Penghindaran Pajak. </w:t>
      </w:r>
      <w:r w:rsidRPr="00320D08">
        <w:rPr>
          <w:rFonts w:ascii="Cambria" w:hAnsi="Cambria" w:cs="Times New Roman"/>
          <w:i/>
          <w:iCs/>
          <w:noProof/>
          <w:sz w:val="22"/>
        </w:rPr>
        <w:t>Keberlanjutan</w:t>
      </w:r>
      <w:r w:rsidRPr="00320D08">
        <w:rPr>
          <w:rFonts w:ascii="Cambria" w:hAnsi="Cambria" w:cs="Times New Roman"/>
          <w:noProof/>
          <w:sz w:val="22"/>
        </w:rPr>
        <w:t xml:space="preserve">, </w:t>
      </w:r>
      <w:r w:rsidRPr="00320D08">
        <w:rPr>
          <w:rFonts w:ascii="Cambria" w:hAnsi="Cambria" w:cs="Times New Roman"/>
          <w:i/>
          <w:iCs/>
          <w:noProof/>
          <w:sz w:val="22"/>
        </w:rPr>
        <w:t>2</w:t>
      </w:r>
      <w:r w:rsidRPr="00320D08">
        <w:rPr>
          <w:rFonts w:ascii="Cambria" w:hAnsi="Cambria" w:cs="Times New Roman"/>
          <w:noProof/>
          <w:sz w:val="22"/>
        </w:rPr>
        <w:t>(1), 431. https://doi.org/10.32493/keberlanjutan.v2i1.y2017.p431-459</w:t>
      </w:r>
    </w:p>
    <w:p w14:paraId="26A8DC20" w14:textId="3CFFB29E" w:rsidR="007A371B" w:rsidRPr="00320D08" w:rsidRDefault="007A371B" w:rsidP="00320D08">
      <w:pPr>
        <w:widowControl w:val="0"/>
        <w:autoSpaceDE w:val="0"/>
        <w:autoSpaceDN w:val="0"/>
        <w:adjustRightInd w:val="0"/>
        <w:spacing w:line="276" w:lineRule="auto"/>
        <w:ind w:left="709" w:hanging="709"/>
        <w:rPr>
          <w:rFonts w:ascii="Cambria" w:hAnsi="Cambria" w:cs="Times New Roman"/>
          <w:noProof/>
          <w:sz w:val="22"/>
        </w:rPr>
      </w:pPr>
      <w:r w:rsidRPr="00320D08">
        <w:rPr>
          <w:rFonts w:ascii="Cambria" w:hAnsi="Cambria" w:cs="Times New Roman"/>
          <w:noProof/>
          <w:sz w:val="22"/>
        </w:rPr>
        <w:t xml:space="preserve">Panjalusman, P. A., Nugraha, E., &amp; Setiawan, A. (2018). Pengaruh Transfer Pricing Terhadap Penghindaran Pajak. </w:t>
      </w:r>
      <w:r w:rsidRPr="00320D08">
        <w:rPr>
          <w:rFonts w:ascii="Cambria" w:hAnsi="Cambria" w:cs="Times New Roman"/>
          <w:i/>
          <w:iCs/>
          <w:noProof/>
          <w:sz w:val="22"/>
        </w:rPr>
        <w:t>Jurnal Pendidikan Akuntansi &amp; Keuangan</w:t>
      </w:r>
      <w:r w:rsidRPr="00320D08">
        <w:rPr>
          <w:rFonts w:ascii="Cambria" w:hAnsi="Cambria" w:cs="Times New Roman"/>
          <w:noProof/>
          <w:sz w:val="22"/>
        </w:rPr>
        <w:t xml:space="preserve">, </w:t>
      </w:r>
      <w:r w:rsidRPr="00320D08">
        <w:rPr>
          <w:rFonts w:ascii="Cambria" w:hAnsi="Cambria" w:cs="Times New Roman"/>
          <w:i/>
          <w:iCs/>
          <w:noProof/>
          <w:sz w:val="22"/>
        </w:rPr>
        <w:t>6</w:t>
      </w:r>
      <w:r w:rsidRPr="00320D08">
        <w:rPr>
          <w:rFonts w:ascii="Cambria" w:hAnsi="Cambria" w:cs="Times New Roman"/>
          <w:noProof/>
          <w:sz w:val="22"/>
        </w:rPr>
        <w:t>(2), 105. https://doi.org/10.17509/jpak.v6i2.15916</w:t>
      </w:r>
    </w:p>
    <w:p w14:paraId="37116F26" w14:textId="58E61C0F" w:rsidR="007A371B" w:rsidRPr="00320D08" w:rsidRDefault="007A371B" w:rsidP="00320D08">
      <w:pPr>
        <w:widowControl w:val="0"/>
        <w:autoSpaceDE w:val="0"/>
        <w:autoSpaceDN w:val="0"/>
        <w:adjustRightInd w:val="0"/>
        <w:spacing w:line="276" w:lineRule="auto"/>
        <w:ind w:left="709" w:hanging="709"/>
        <w:rPr>
          <w:rFonts w:ascii="Cambria" w:hAnsi="Cambria" w:cs="Times New Roman"/>
          <w:noProof/>
          <w:sz w:val="22"/>
        </w:rPr>
      </w:pPr>
      <w:r w:rsidRPr="00320D08">
        <w:rPr>
          <w:rFonts w:ascii="Cambria" w:hAnsi="Cambria" w:cs="Times New Roman"/>
          <w:noProof/>
          <w:sz w:val="22"/>
        </w:rPr>
        <w:t xml:space="preserve">Purba, D. M. (2018). The Influence of Earnings Management, Audit Quality and CEO Duality on Tax Avoidance. </w:t>
      </w:r>
      <w:r w:rsidRPr="00320D08">
        <w:rPr>
          <w:rFonts w:ascii="Cambria" w:hAnsi="Cambria" w:cs="Times New Roman"/>
          <w:i/>
          <w:iCs/>
          <w:noProof/>
          <w:sz w:val="22"/>
        </w:rPr>
        <w:t>The Accounting Journal of Binaniaga</w:t>
      </w:r>
      <w:r w:rsidRPr="00320D08">
        <w:rPr>
          <w:rFonts w:ascii="Cambria" w:hAnsi="Cambria" w:cs="Times New Roman"/>
          <w:noProof/>
          <w:sz w:val="22"/>
        </w:rPr>
        <w:t xml:space="preserve">, </w:t>
      </w:r>
      <w:r w:rsidRPr="00320D08">
        <w:rPr>
          <w:rFonts w:ascii="Cambria" w:hAnsi="Cambria" w:cs="Times New Roman"/>
          <w:i/>
          <w:iCs/>
          <w:noProof/>
          <w:sz w:val="22"/>
        </w:rPr>
        <w:t>3</w:t>
      </w:r>
      <w:r w:rsidRPr="00320D08">
        <w:rPr>
          <w:rFonts w:ascii="Cambria" w:hAnsi="Cambria" w:cs="Times New Roman"/>
          <w:noProof/>
          <w:sz w:val="22"/>
        </w:rPr>
        <w:t>(1), 25. https://doi.org/10.33062/ajb.v3i1.175</w:t>
      </w:r>
    </w:p>
    <w:p w14:paraId="32E1CF22" w14:textId="2FA48306" w:rsidR="007A371B" w:rsidRPr="00320D08" w:rsidRDefault="007A371B" w:rsidP="00320D08">
      <w:pPr>
        <w:widowControl w:val="0"/>
        <w:autoSpaceDE w:val="0"/>
        <w:autoSpaceDN w:val="0"/>
        <w:adjustRightInd w:val="0"/>
        <w:spacing w:line="276" w:lineRule="auto"/>
        <w:ind w:left="709" w:hanging="709"/>
        <w:rPr>
          <w:rFonts w:ascii="Cambria" w:hAnsi="Cambria" w:cs="Times New Roman"/>
          <w:noProof/>
          <w:sz w:val="22"/>
        </w:rPr>
      </w:pPr>
      <w:r w:rsidRPr="00320D08">
        <w:rPr>
          <w:rFonts w:ascii="Cambria" w:hAnsi="Cambria" w:cs="Times New Roman"/>
          <w:noProof/>
          <w:sz w:val="22"/>
        </w:rPr>
        <w:t xml:space="preserve">Putri, A., Rohman, A., &amp; Chariri, A. (2016). Tax avoidance, earnings management, and corporate governance mechanism (an evidence from Indonesia). </w:t>
      </w:r>
      <w:r w:rsidRPr="00320D08">
        <w:rPr>
          <w:rFonts w:ascii="Cambria" w:hAnsi="Cambria" w:cs="Times New Roman"/>
          <w:i/>
          <w:iCs/>
          <w:noProof/>
          <w:sz w:val="22"/>
        </w:rPr>
        <w:t>International Journal of Economic Research</w:t>
      </w:r>
      <w:r w:rsidRPr="00320D08">
        <w:rPr>
          <w:rFonts w:ascii="Cambria" w:hAnsi="Cambria" w:cs="Times New Roman"/>
          <w:noProof/>
          <w:sz w:val="22"/>
        </w:rPr>
        <w:t xml:space="preserve">, </w:t>
      </w:r>
      <w:r w:rsidRPr="00320D08">
        <w:rPr>
          <w:rFonts w:ascii="Cambria" w:hAnsi="Cambria" w:cs="Times New Roman"/>
          <w:i/>
          <w:iCs/>
          <w:noProof/>
          <w:sz w:val="22"/>
        </w:rPr>
        <w:t>13</w:t>
      </w:r>
      <w:r w:rsidRPr="00320D08">
        <w:rPr>
          <w:rFonts w:ascii="Cambria" w:hAnsi="Cambria" w:cs="Times New Roman"/>
          <w:noProof/>
          <w:sz w:val="22"/>
        </w:rPr>
        <w:t>(4), 1931–1943.</w:t>
      </w:r>
    </w:p>
    <w:p w14:paraId="1BD42C63" w14:textId="5D8A8BFE" w:rsidR="007A371B" w:rsidRPr="00320D08" w:rsidRDefault="007A371B" w:rsidP="00320D08">
      <w:pPr>
        <w:widowControl w:val="0"/>
        <w:autoSpaceDE w:val="0"/>
        <w:autoSpaceDN w:val="0"/>
        <w:adjustRightInd w:val="0"/>
        <w:spacing w:line="276" w:lineRule="auto"/>
        <w:ind w:left="709" w:hanging="709"/>
        <w:rPr>
          <w:rFonts w:ascii="Cambria" w:hAnsi="Cambria" w:cs="Times New Roman"/>
          <w:noProof/>
          <w:sz w:val="22"/>
        </w:rPr>
      </w:pPr>
      <w:r w:rsidRPr="00320D08">
        <w:rPr>
          <w:rFonts w:ascii="Cambria" w:hAnsi="Cambria" w:cs="Times New Roman"/>
          <w:noProof/>
          <w:sz w:val="22"/>
        </w:rPr>
        <w:t xml:space="preserve">Putri, N., &amp; Mulyani, S. D. (2020). Pengaruh Transfer Pricing Dan Kepemilikan Asing Terhadap Praktik Penghindaran Pajak (Tax Avoidance)Dengan Pengungkapan Corporate Social Responsibility (Csr)Sebagai Variabel Moderasi. </w:t>
      </w:r>
      <w:r w:rsidRPr="00320D08">
        <w:rPr>
          <w:rFonts w:ascii="Cambria" w:hAnsi="Cambria" w:cs="Times New Roman"/>
          <w:i/>
          <w:iCs/>
          <w:noProof/>
          <w:sz w:val="22"/>
        </w:rPr>
        <w:t>Prosiding Seminar Nasional Pakar</w:t>
      </w:r>
      <w:r w:rsidRPr="00320D08">
        <w:rPr>
          <w:rFonts w:ascii="Cambria" w:hAnsi="Cambria" w:cs="Times New Roman"/>
          <w:noProof/>
          <w:sz w:val="22"/>
        </w:rPr>
        <w:t xml:space="preserve">, </w:t>
      </w:r>
      <w:r w:rsidRPr="00320D08">
        <w:rPr>
          <w:rFonts w:ascii="Cambria" w:hAnsi="Cambria" w:cs="Times New Roman"/>
          <w:i/>
          <w:iCs/>
          <w:noProof/>
          <w:sz w:val="22"/>
        </w:rPr>
        <w:t>1</w:t>
      </w:r>
      <w:r w:rsidRPr="00320D08">
        <w:rPr>
          <w:rFonts w:ascii="Cambria" w:hAnsi="Cambria" w:cs="Times New Roman"/>
          <w:noProof/>
          <w:sz w:val="22"/>
        </w:rPr>
        <w:t>(2), 1–9. https://trijurnal.lemlit.trisakti.ac.id/pakar/article/view/6826</w:t>
      </w:r>
    </w:p>
    <w:p w14:paraId="5DD1A2D9" w14:textId="7A2CF3C4" w:rsidR="007A371B" w:rsidRPr="00320D08" w:rsidRDefault="007A371B" w:rsidP="00320D08">
      <w:pPr>
        <w:widowControl w:val="0"/>
        <w:autoSpaceDE w:val="0"/>
        <w:autoSpaceDN w:val="0"/>
        <w:adjustRightInd w:val="0"/>
        <w:spacing w:line="276" w:lineRule="auto"/>
        <w:ind w:left="709" w:hanging="709"/>
        <w:rPr>
          <w:rFonts w:ascii="Cambria" w:hAnsi="Cambria" w:cs="Times New Roman"/>
          <w:noProof/>
          <w:sz w:val="22"/>
        </w:rPr>
      </w:pPr>
      <w:r w:rsidRPr="00320D08">
        <w:rPr>
          <w:rFonts w:ascii="Cambria" w:hAnsi="Cambria" w:cs="Times New Roman"/>
          <w:noProof/>
          <w:sz w:val="22"/>
        </w:rPr>
        <w:t xml:space="preserve">Rachmawati, N. A., Utama, S., Martani, D., &amp; Wardhani, R. (2019). Determinants of the complementary level of financial and tax aggressiveness: A cross-country study. </w:t>
      </w:r>
      <w:r w:rsidRPr="00320D08">
        <w:rPr>
          <w:rFonts w:ascii="Cambria" w:hAnsi="Cambria" w:cs="Times New Roman"/>
          <w:i/>
          <w:iCs/>
          <w:noProof/>
          <w:sz w:val="22"/>
        </w:rPr>
        <w:t>International Journal of Managerial and Financial Accounting</w:t>
      </w:r>
      <w:r w:rsidRPr="00320D08">
        <w:rPr>
          <w:rFonts w:ascii="Cambria" w:hAnsi="Cambria" w:cs="Times New Roman"/>
          <w:noProof/>
          <w:sz w:val="22"/>
        </w:rPr>
        <w:t xml:space="preserve">, </w:t>
      </w:r>
      <w:r w:rsidRPr="00320D08">
        <w:rPr>
          <w:rFonts w:ascii="Cambria" w:hAnsi="Cambria" w:cs="Times New Roman"/>
          <w:i/>
          <w:iCs/>
          <w:noProof/>
          <w:sz w:val="22"/>
        </w:rPr>
        <w:t>11</w:t>
      </w:r>
      <w:r w:rsidRPr="00320D08">
        <w:rPr>
          <w:rFonts w:ascii="Cambria" w:hAnsi="Cambria" w:cs="Times New Roman"/>
          <w:noProof/>
          <w:sz w:val="22"/>
        </w:rPr>
        <w:t>(2), 145–166. https://doi.org/10.1504/IJMFA.2019.099772</w:t>
      </w:r>
    </w:p>
    <w:p w14:paraId="4E615106" w14:textId="4C0B1DAA" w:rsidR="007A371B" w:rsidRPr="00320D08" w:rsidRDefault="007A371B" w:rsidP="00320D08">
      <w:pPr>
        <w:widowControl w:val="0"/>
        <w:autoSpaceDE w:val="0"/>
        <w:autoSpaceDN w:val="0"/>
        <w:adjustRightInd w:val="0"/>
        <w:spacing w:line="276" w:lineRule="auto"/>
        <w:ind w:left="709" w:hanging="709"/>
        <w:rPr>
          <w:rFonts w:ascii="Cambria" w:hAnsi="Cambria" w:cs="Times New Roman"/>
          <w:noProof/>
          <w:sz w:val="22"/>
        </w:rPr>
      </w:pPr>
      <w:r w:rsidRPr="00320D08">
        <w:rPr>
          <w:rFonts w:ascii="Cambria" w:hAnsi="Cambria" w:cs="Times New Roman"/>
          <w:noProof/>
          <w:sz w:val="22"/>
        </w:rPr>
        <w:t xml:space="preserve">Rasyid, A. S., Sumbiharsih, D., Bella, M., Utama, A., Studi, P., Manajemen, M., &amp; Pamulang, U. (2021). </w:t>
      </w:r>
      <w:r w:rsidRPr="00320D08">
        <w:rPr>
          <w:rFonts w:ascii="Cambria" w:hAnsi="Cambria" w:cs="Times New Roman"/>
          <w:i/>
          <w:iCs/>
          <w:noProof/>
          <w:sz w:val="22"/>
        </w:rPr>
        <w:t>Humanis2021</w:t>
      </w:r>
      <w:r w:rsidRPr="00320D08">
        <w:rPr>
          <w:rFonts w:ascii="Cambria" w:hAnsi="Cambria" w:cs="Times New Roman"/>
          <w:noProof/>
          <w:sz w:val="22"/>
        </w:rPr>
        <w:t xml:space="preserve">. </w:t>
      </w:r>
      <w:r w:rsidRPr="00320D08">
        <w:rPr>
          <w:rFonts w:ascii="Cambria" w:hAnsi="Cambria" w:cs="Times New Roman"/>
          <w:i/>
          <w:iCs/>
          <w:noProof/>
          <w:sz w:val="22"/>
        </w:rPr>
        <w:t>1</w:t>
      </w:r>
      <w:r w:rsidRPr="00320D08">
        <w:rPr>
          <w:rFonts w:ascii="Cambria" w:hAnsi="Cambria" w:cs="Times New Roman"/>
          <w:noProof/>
          <w:sz w:val="22"/>
        </w:rPr>
        <w:t>(2), 1–10.</w:t>
      </w:r>
    </w:p>
    <w:p w14:paraId="066E2621" w14:textId="4AC1E8C0" w:rsidR="007A371B" w:rsidRPr="00320D08" w:rsidRDefault="007A371B" w:rsidP="00320D08">
      <w:pPr>
        <w:widowControl w:val="0"/>
        <w:autoSpaceDE w:val="0"/>
        <w:autoSpaceDN w:val="0"/>
        <w:adjustRightInd w:val="0"/>
        <w:spacing w:line="276" w:lineRule="auto"/>
        <w:ind w:left="709" w:hanging="709"/>
        <w:rPr>
          <w:rFonts w:ascii="Cambria" w:hAnsi="Cambria" w:cs="Times New Roman"/>
          <w:noProof/>
          <w:sz w:val="22"/>
        </w:rPr>
      </w:pPr>
      <w:r w:rsidRPr="00320D08">
        <w:rPr>
          <w:rFonts w:ascii="Cambria" w:hAnsi="Cambria" w:cs="Times New Roman"/>
          <w:noProof/>
          <w:sz w:val="22"/>
        </w:rPr>
        <w:t xml:space="preserve">Richardson, G., &amp; Lanis, R. (2007). Determinants of the variability in corporate effective tax rates and tax reform: Evidence from Australia. </w:t>
      </w:r>
      <w:r w:rsidRPr="00320D08">
        <w:rPr>
          <w:rFonts w:ascii="Cambria" w:hAnsi="Cambria" w:cs="Times New Roman"/>
          <w:i/>
          <w:iCs/>
          <w:noProof/>
          <w:sz w:val="22"/>
        </w:rPr>
        <w:t>Journal of Accounting and Public Policy</w:t>
      </w:r>
      <w:r w:rsidRPr="00320D08">
        <w:rPr>
          <w:rFonts w:ascii="Cambria" w:hAnsi="Cambria" w:cs="Times New Roman"/>
          <w:noProof/>
          <w:sz w:val="22"/>
        </w:rPr>
        <w:t xml:space="preserve">, </w:t>
      </w:r>
      <w:r w:rsidRPr="00320D08">
        <w:rPr>
          <w:rFonts w:ascii="Cambria" w:hAnsi="Cambria" w:cs="Times New Roman"/>
          <w:i/>
          <w:iCs/>
          <w:noProof/>
          <w:sz w:val="22"/>
        </w:rPr>
        <w:t>26</w:t>
      </w:r>
      <w:r w:rsidRPr="00320D08">
        <w:rPr>
          <w:rFonts w:ascii="Cambria" w:hAnsi="Cambria" w:cs="Times New Roman"/>
          <w:noProof/>
          <w:sz w:val="22"/>
        </w:rPr>
        <w:t>(6), 689–704. https://doi.org/https://doi.org/10.1016/j.jaccpubpol.2007.10.003</w:t>
      </w:r>
    </w:p>
    <w:p w14:paraId="4AB97663" w14:textId="189D7D2C" w:rsidR="007A371B" w:rsidRPr="00320D08" w:rsidRDefault="007A371B" w:rsidP="00320D08">
      <w:pPr>
        <w:widowControl w:val="0"/>
        <w:autoSpaceDE w:val="0"/>
        <w:autoSpaceDN w:val="0"/>
        <w:adjustRightInd w:val="0"/>
        <w:spacing w:line="276" w:lineRule="auto"/>
        <w:ind w:left="709" w:hanging="709"/>
        <w:rPr>
          <w:rFonts w:ascii="Cambria" w:hAnsi="Cambria" w:cs="Times New Roman"/>
          <w:noProof/>
          <w:sz w:val="22"/>
        </w:rPr>
      </w:pPr>
      <w:r w:rsidRPr="00320D08">
        <w:rPr>
          <w:rFonts w:ascii="Cambria" w:hAnsi="Cambria" w:cs="Times New Roman"/>
          <w:noProof/>
          <w:sz w:val="22"/>
        </w:rPr>
        <w:t xml:space="preserve">Riduwan, &amp; Kuncoro. (2012). </w:t>
      </w:r>
      <w:r w:rsidRPr="00320D08">
        <w:rPr>
          <w:rFonts w:ascii="Cambria" w:hAnsi="Cambria" w:cs="Times New Roman"/>
          <w:i/>
          <w:iCs/>
          <w:noProof/>
          <w:sz w:val="22"/>
        </w:rPr>
        <w:t>Cara Menggunakan dan Memakai Path Analysis (Analisis Jalur)</w:t>
      </w:r>
      <w:r w:rsidRPr="00320D08">
        <w:rPr>
          <w:rFonts w:ascii="Cambria" w:hAnsi="Cambria" w:cs="Times New Roman"/>
          <w:noProof/>
          <w:sz w:val="22"/>
        </w:rPr>
        <w:t>. Alfabeta.</w:t>
      </w:r>
    </w:p>
    <w:p w14:paraId="47FF88DC" w14:textId="3420F4F9" w:rsidR="007A371B" w:rsidRPr="00320D08" w:rsidRDefault="007A371B" w:rsidP="00320D08">
      <w:pPr>
        <w:widowControl w:val="0"/>
        <w:autoSpaceDE w:val="0"/>
        <w:autoSpaceDN w:val="0"/>
        <w:adjustRightInd w:val="0"/>
        <w:spacing w:line="276" w:lineRule="auto"/>
        <w:ind w:left="709" w:hanging="709"/>
        <w:rPr>
          <w:rFonts w:ascii="Cambria" w:hAnsi="Cambria" w:cs="Times New Roman"/>
          <w:noProof/>
          <w:sz w:val="22"/>
        </w:rPr>
      </w:pPr>
      <w:r w:rsidRPr="00320D08">
        <w:rPr>
          <w:rFonts w:ascii="Cambria" w:hAnsi="Cambria" w:cs="Times New Roman"/>
          <w:noProof/>
          <w:sz w:val="22"/>
        </w:rPr>
        <w:t xml:space="preserve">Rifai, A., &amp; Atiningsih, S. (2019). Pengaruh Leverage, Profitabilitas, Capital Intensity, Manajemen Laba Terhadap Penghindaran Pajak. </w:t>
      </w:r>
      <w:r w:rsidRPr="00320D08">
        <w:rPr>
          <w:rFonts w:ascii="Cambria" w:hAnsi="Cambria" w:cs="Times New Roman"/>
          <w:i/>
          <w:iCs/>
          <w:noProof/>
          <w:sz w:val="22"/>
        </w:rPr>
        <w:t>ECONBANK: Journal of Economics and Banking</w:t>
      </w:r>
      <w:r w:rsidRPr="00320D08">
        <w:rPr>
          <w:rFonts w:ascii="Cambria" w:hAnsi="Cambria" w:cs="Times New Roman"/>
          <w:noProof/>
          <w:sz w:val="22"/>
        </w:rPr>
        <w:t xml:space="preserve">, </w:t>
      </w:r>
      <w:r w:rsidRPr="00320D08">
        <w:rPr>
          <w:rFonts w:ascii="Cambria" w:hAnsi="Cambria" w:cs="Times New Roman"/>
          <w:i/>
          <w:iCs/>
          <w:noProof/>
          <w:sz w:val="22"/>
        </w:rPr>
        <w:t>1</w:t>
      </w:r>
      <w:r w:rsidRPr="00320D08">
        <w:rPr>
          <w:rFonts w:ascii="Cambria" w:hAnsi="Cambria" w:cs="Times New Roman"/>
          <w:noProof/>
          <w:sz w:val="22"/>
        </w:rPr>
        <w:t>(2), 135–142. https://doi.org/10.35829/econbank.v1i2.48</w:t>
      </w:r>
    </w:p>
    <w:p w14:paraId="3132320B" w14:textId="73D8668F" w:rsidR="007A371B" w:rsidRPr="00320D08" w:rsidRDefault="007A371B" w:rsidP="00320D08">
      <w:pPr>
        <w:widowControl w:val="0"/>
        <w:autoSpaceDE w:val="0"/>
        <w:autoSpaceDN w:val="0"/>
        <w:adjustRightInd w:val="0"/>
        <w:spacing w:line="276" w:lineRule="auto"/>
        <w:ind w:left="709" w:hanging="709"/>
        <w:rPr>
          <w:rFonts w:ascii="Cambria" w:hAnsi="Cambria" w:cs="Times New Roman"/>
          <w:noProof/>
          <w:sz w:val="22"/>
        </w:rPr>
      </w:pPr>
      <w:r w:rsidRPr="00320D08">
        <w:rPr>
          <w:rFonts w:ascii="Cambria" w:hAnsi="Cambria" w:cs="Times New Roman"/>
          <w:noProof/>
          <w:sz w:val="22"/>
        </w:rPr>
        <w:t xml:space="preserve">Roychowdhury, S. (2006). Earnings management through real activities manipulation. </w:t>
      </w:r>
      <w:r w:rsidRPr="00320D08">
        <w:rPr>
          <w:rFonts w:ascii="Cambria" w:hAnsi="Cambria" w:cs="Times New Roman"/>
          <w:i/>
          <w:iCs/>
          <w:noProof/>
          <w:sz w:val="22"/>
        </w:rPr>
        <w:t>Journal of Accounting and Economics</w:t>
      </w:r>
      <w:r w:rsidRPr="00320D08">
        <w:rPr>
          <w:rFonts w:ascii="Cambria" w:hAnsi="Cambria" w:cs="Times New Roman"/>
          <w:noProof/>
          <w:sz w:val="22"/>
        </w:rPr>
        <w:t xml:space="preserve">, </w:t>
      </w:r>
      <w:r w:rsidRPr="00320D08">
        <w:rPr>
          <w:rFonts w:ascii="Cambria" w:hAnsi="Cambria" w:cs="Times New Roman"/>
          <w:i/>
          <w:iCs/>
          <w:noProof/>
          <w:sz w:val="22"/>
        </w:rPr>
        <w:t>42</w:t>
      </w:r>
      <w:r w:rsidRPr="00320D08">
        <w:rPr>
          <w:rFonts w:ascii="Cambria" w:hAnsi="Cambria" w:cs="Times New Roman"/>
          <w:noProof/>
          <w:sz w:val="22"/>
        </w:rPr>
        <w:t xml:space="preserve">(3), 335–370. </w:t>
      </w:r>
      <w:r w:rsidRPr="00320D08">
        <w:rPr>
          <w:rFonts w:ascii="Cambria" w:hAnsi="Cambria" w:cs="Times New Roman"/>
          <w:noProof/>
          <w:sz w:val="22"/>
        </w:rPr>
        <w:lastRenderedPageBreak/>
        <w:t>https://doi.org/10.1016/j.jacceco.2006.01.002</w:t>
      </w:r>
    </w:p>
    <w:p w14:paraId="6DB6ACD4" w14:textId="39F4E75E" w:rsidR="007A371B" w:rsidRPr="00320D08" w:rsidRDefault="007A371B" w:rsidP="00320D08">
      <w:pPr>
        <w:widowControl w:val="0"/>
        <w:autoSpaceDE w:val="0"/>
        <w:autoSpaceDN w:val="0"/>
        <w:adjustRightInd w:val="0"/>
        <w:spacing w:line="276" w:lineRule="auto"/>
        <w:ind w:left="709" w:hanging="709"/>
        <w:rPr>
          <w:rFonts w:ascii="Cambria" w:hAnsi="Cambria" w:cs="Times New Roman"/>
          <w:noProof/>
          <w:sz w:val="22"/>
        </w:rPr>
      </w:pPr>
      <w:r w:rsidRPr="00320D08">
        <w:rPr>
          <w:rFonts w:ascii="Cambria" w:hAnsi="Cambria" w:cs="Times New Roman"/>
          <w:noProof/>
          <w:sz w:val="22"/>
        </w:rPr>
        <w:t xml:space="preserve">Saunders, M. N. ., Lewis, P., &amp; Thornhill, A. (2015). </w:t>
      </w:r>
      <w:r w:rsidRPr="00320D08">
        <w:rPr>
          <w:rFonts w:ascii="Cambria" w:hAnsi="Cambria" w:cs="Times New Roman"/>
          <w:i/>
          <w:iCs/>
          <w:noProof/>
          <w:sz w:val="22"/>
        </w:rPr>
        <w:t>Research methods for business students (Seventh edition)</w:t>
      </w:r>
      <w:r w:rsidRPr="00320D08">
        <w:rPr>
          <w:rFonts w:ascii="Cambria" w:hAnsi="Cambria" w:cs="Times New Roman"/>
          <w:noProof/>
          <w:sz w:val="22"/>
        </w:rPr>
        <w:t>. Pearson Education.</w:t>
      </w:r>
    </w:p>
    <w:p w14:paraId="035CCC4E" w14:textId="43B409B3" w:rsidR="00320D08" w:rsidRPr="00320D08" w:rsidRDefault="00320D08" w:rsidP="00320D08">
      <w:pPr>
        <w:widowControl w:val="0"/>
        <w:autoSpaceDE w:val="0"/>
        <w:autoSpaceDN w:val="0"/>
        <w:adjustRightInd w:val="0"/>
        <w:spacing w:line="276" w:lineRule="auto"/>
        <w:ind w:left="709" w:hanging="709"/>
        <w:rPr>
          <w:rFonts w:ascii="Cambria" w:hAnsi="Cambria" w:cs="Times New Roman"/>
          <w:noProof/>
          <w:sz w:val="22"/>
        </w:rPr>
      </w:pPr>
      <w:r w:rsidRPr="00320D08">
        <w:rPr>
          <w:rFonts w:ascii="Cambria" w:hAnsi="Cambria"/>
          <w:sz w:val="22"/>
        </w:rPr>
        <w:t xml:space="preserve">Scott, Wiliam R. 2015. </w:t>
      </w:r>
      <w:r w:rsidRPr="00320D08">
        <w:rPr>
          <w:rFonts w:ascii="Cambria" w:hAnsi="Cambria"/>
          <w:i/>
          <w:iCs/>
          <w:sz w:val="22"/>
        </w:rPr>
        <w:t>Financial Accounting Theory Sevent</w:t>
      </w:r>
      <w:r w:rsidR="00845514">
        <w:rPr>
          <w:rFonts w:ascii="Cambria" w:hAnsi="Cambria"/>
          <w:i/>
          <w:iCs/>
          <w:sz w:val="22"/>
        </w:rPr>
        <w:t>h</w:t>
      </w:r>
      <w:r w:rsidRPr="00320D08">
        <w:rPr>
          <w:rFonts w:ascii="Cambria" w:hAnsi="Cambria"/>
          <w:i/>
          <w:iCs/>
          <w:sz w:val="22"/>
        </w:rPr>
        <w:t xml:space="preserve"> Edition</w:t>
      </w:r>
      <w:r w:rsidRPr="00320D08">
        <w:rPr>
          <w:rFonts w:ascii="Cambria" w:hAnsi="Cambria"/>
          <w:sz w:val="22"/>
        </w:rPr>
        <w:t>. United States : Canada Cataloguing.</w:t>
      </w:r>
    </w:p>
    <w:p w14:paraId="1411433E" w14:textId="58D36F6D" w:rsidR="007A371B" w:rsidRPr="00320D08" w:rsidRDefault="007A371B" w:rsidP="00320D08">
      <w:pPr>
        <w:widowControl w:val="0"/>
        <w:autoSpaceDE w:val="0"/>
        <w:autoSpaceDN w:val="0"/>
        <w:adjustRightInd w:val="0"/>
        <w:spacing w:line="276" w:lineRule="auto"/>
        <w:ind w:left="709" w:hanging="709"/>
        <w:rPr>
          <w:rFonts w:ascii="Cambria" w:hAnsi="Cambria" w:cs="Times New Roman"/>
          <w:noProof/>
          <w:sz w:val="22"/>
        </w:rPr>
      </w:pPr>
      <w:r w:rsidRPr="00320D08">
        <w:rPr>
          <w:rFonts w:ascii="Cambria" w:hAnsi="Cambria" w:cs="Times New Roman"/>
          <w:noProof/>
          <w:sz w:val="22"/>
        </w:rPr>
        <w:t xml:space="preserve">Sekaran, U., &amp; Bougie, R. (2016). </w:t>
      </w:r>
      <w:r w:rsidRPr="00320D08">
        <w:rPr>
          <w:rFonts w:ascii="Cambria" w:hAnsi="Cambria" w:cs="Times New Roman"/>
          <w:i/>
          <w:iCs/>
          <w:noProof/>
          <w:sz w:val="22"/>
        </w:rPr>
        <w:t>Research Methods for Business (Seventh Edition)</w:t>
      </w:r>
      <w:r w:rsidRPr="00320D08">
        <w:rPr>
          <w:rFonts w:ascii="Cambria" w:hAnsi="Cambria" w:cs="Times New Roman"/>
          <w:noProof/>
          <w:sz w:val="22"/>
        </w:rPr>
        <w:t>. John Wiley &amp; Sons Ltd.</w:t>
      </w:r>
    </w:p>
    <w:p w14:paraId="754D6FAC" w14:textId="52D4C937" w:rsidR="007A371B" w:rsidRPr="00320D08" w:rsidRDefault="007A371B" w:rsidP="00320D08">
      <w:pPr>
        <w:widowControl w:val="0"/>
        <w:autoSpaceDE w:val="0"/>
        <w:autoSpaceDN w:val="0"/>
        <w:adjustRightInd w:val="0"/>
        <w:spacing w:line="276" w:lineRule="auto"/>
        <w:ind w:left="709" w:hanging="709"/>
        <w:rPr>
          <w:rFonts w:ascii="Cambria" w:hAnsi="Cambria" w:cs="Times New Roman"/>
          <w:noProof/>
          <w:sz w:val="22"/>
        </w:rPr>
      </w:pPr>
      <w:r w:rsidRPr="00320D08">
        <w:rPr>
          <w:rFonts w:ascii="Cambria" w:hAnsi="Cambria" w:cs="Times New Roman"/>
          <w:noProof/>
          <w:sz w:val="22"/>
        </w:rPr>
        <w:t xml:space="preserve">Shackelford, D. A., &amp; Shevlin, T. (2001). Empirical tax research in accounting. </w:t>
      </w:r>
      <w:r w:rsidRPr="00320D08">
        <w:rPr>
          <w:rFonts w:ascii="Cambria" w:hAnsi="Cambria" w:cs="Times New Roman"/>
          <w:i/>
          <w:iCs/>
          <w:noProof/>
          <w:sz w:val="22"/>
        </w:rPr>
        <w:t>Journal of Accounting and Economics</w:t>
      </w:r>
      <w:r w:rsidRPr="00320D08">
        <w:rPr>
          <w:rFonts w:ascii="Cambria" w:hAnsi="Cambria" w:cs="Times New Roman"/>
          <w:noProof/>
          <w:sz w:val="22"/>
        </w:rPr>
        <w:t xml:space="preserve">, </w:t>
      </w:r>
      <w:r w:rsidRPr="00320D08">
        <w:rPr>
          <w:rFonts w:ascii="Cambria" w:hAnsi="Cambria" w:cs="Times New Roman"/>
          <w:i/>
          <w:iCs/>
          <w:noProof/>
          <w:sz w:val="22"/>
        </w:rPr>
        <w:t>31</w:t>
      </w:r>
      <w:r w:rsidRPr="00320D08">
        <w:rPr>
          <w:rFonts w:ascii="Cambria" w:hAnsi="Cambria" w:cs="Times New Roman"/>
          <w:noProof/>
          <w:sz w:val="22"/>
        </w:rPr>
        <w:t>(1), 321–387. https://doi.org/https://doi.org/10.1016/S0165-4101(01)00022-2</w:t>
      </w:r>
    </w:p>
    <w:p w14:paraId="36C204A2" w14:textId="1CCBB4E5" w:rsidR="007A371B" w:rsidRPr="00320D08" w:rsidRDefault="007A371B" w:rsidP="00320D08">
      <w:pPr>
        <w:widowControl w:val="0"/>
        <w:autoSpaceDE w:val="0"/>
        <w:autoSpaceDN w:val="0"/>
        <w:adjustRightInd w:val="0"/>
        <w:spacing w:line="276" w:lineRule="auto"/>
        <w:ind w:left="709" w:hanging="709"/>
        <w:rPr>
          <w:rFonts w:ascii="Cambria" w:hAnsi="Cambria" w:cs="Times New Roman"/>
          <w:noProof/>
          <w:sz w:val="22"/>
        </w:rPr>
      </w:pPr>
      <w:r w:rsidRPr="00320D08">
        <w:rPr>
          <w:rFonts w:ascii="Cambria" w:hAnsi="Cambria" w:cs="Times New Roman"/>
          <w:noProof/>
          <w:sz w:val="22"/>
        </w:rPr>
        <w:t xml:space="preserve">Smith, L. M. (2011). The Ethics of Transfer Pricing. </w:t>
      </w:r>
      <w:r w:rsidRPr="00320D08">
        <w:rPr>
          <w:rFonts w:ascii="Cambria" w:hAnsi="Cambria" w:cs="Times New Roman"/>
          <w:i/>
          <w:iCs/>
          <w:noProof/>
          <w:sz w:val="22"/>
        </w:rPr>
        <w:t>AOS Workshop on “Fraud in Accounting, Organizations, and Society,”</w:t>
      </w:r>
      <w:r w:rsidRPr="00320D08">
        <w:rPr>
          <w:rFonts w:ascii="Cambria" w:hAnsi="Cambria" w:cs="Times New Roman"/>
          <w:noProof/>
          <w:sz w:val="22"/>
        </w:rPr>
        <w:t xml:space="preserve"> </w:t>
      </w:r>
      <w:r w:rsidRPr="00320D08">
        <w:rPr>
          <w:rFonts w:ascii="Cambria" w:hAnsi="Cambria" w:cs="Times New Roman"/>
          <w:i/>
          <w:iCs/>
          <w:noProof/>
          <w:sz w:val="22"/>
        </w:rPr>
        <w:t>September 2009</w:t>
      </w:r>
      <w:r w:rsidRPr="00320D08">
        <w:rPr>
          <w:rFonts w:ascii="Cambria" w:hAnsi="Cambria" w:cs="Times New Roman"/>
          <w:noProof/>
          <w:sz w:val="22"/>
        </w:rPr>
        <w:t>, 1–40.</w:t>
      </w:r>
    </w:p>
    <w:p w14:paraId="4C388B19" w14:textId="5EB01F54" w:rsidR="007A371B" w:rsidRPr="00320D08" w:rsidRDefault="007A371B" w:rsidP="00320D08">
      <w:pPr>
        <w:widowControl w:val="0"/>
        <w:autoSpaceDE w:val="0"/>
        <w:autoSpaceDN w:val="0"/>
        <w:adjustRightInd w:val="0"/>
        <w:spacing w:line="276" w:lineRule="auto"/>
        <w:ind w:left="709" w:hanging="709"/>
        <w:rPr>
          <w:rFonts w:ascii="Cambria" w:hAnsi="Cambria" w:cs="Times New Roman"/>
          <w:noProof/>
          <w:sz w:val="22"/>
        </w:rPr>
      </w:pPr>
      <w:r w:rsidRPr="00320D08">
        <w:rPr>
          <w:rFonts w:ascii="Cambria" w:hAnsi="Cambria" w:cs="Times New Roman"/>
          <w:noProof/>
          <w:sz w:val="22"/>
        </w:rPr>
        <w:t xml:space="preserve">Sugiyono, P. D. (2016). Metode Penelitian Kuantitatif, Kualitatif, dan R&amp;D. In </w:t>
      </w:r>
      <w:r w:rsidRPr="00320D08">
        <w:rPr>
          <w:rFonts w:ascii="Cambria" w:hAnsi="Cambria" w:cs="Times New Roman"/>
          <w:i/>
          <w:iCs/>
          <w:noProof/>
          <w:sz w:val="22"/>
        </w:rPr>
        <w:t>Alfabeta, cv.</w:t>
      </w:r>
    </w:p>
    <w:p w14:paraId="303D2C87" w14:textId="488859F1" w:rsidR="007A371B" w:rsidRPr="00320D08" w:rsidRDefault="007A371B" w:rsidP="00320D08">
      <w:pPr>
        <w:widowControl w:val="0"/>
        <w:autoSpaceDE w:val="0"/>
        <w:autoSpaceDN w:val="0"/>
        <w:adjustRightInd w:val="0"/>
        <w:spacing w:line="276" w:lineRule="auto"/>
        <w:ind w:left="709" w:hanging="709"/>
        <w:rPr>
          <w:rFonts w:ascii="Cambria" w:hAnsi="Cambria" w:cs="Times New Roman"/>
          <w:noProof/>
          <w:sz w:val="22"/>
        </w:rPr>
      </w:pPr>
      <w:r w:rsidRPr="00320D08">
        <w:rPr>
          <w:rFonts w:ascii="Cambria" w:hAnsi="Cambria" w:cs="Times New Roman"/>
          <w:noProof/>
          <w:sz w:val="22"/>
        </w:rPr>
        <w:t xml:space="preserve">Surahman, A., &amp; Firmansyah, A. (2017). Pengaruh manajemen laba melalui penyimpangan akuntansi, aktivitas laba riil dan akrual terhadap agresivitas pajak. </w:t>
      </w:r>
      <w:r w:rsidRPr="00320D08">
        <w:rPr>
          <w:rFonts w:ascii="Cambria" w:hAnsi="Cambria" w:cs="Times New Roman"/>
          <w:i/>
          <w:iCs/>
          <w:noProof/>
          <w:sz w:val="22"/>
        </w:rPr>
        <w:t>Fundamental Management Journal</w:t>
      </w:r>
      <w:r w:rsidRPr="00320D08">
        <w:rPr>
          <w:rFonts w:ascii="Cambria" w:hAnsi="Cambria" w:cs="Times New Roman"/>
          <w:noProof/>
          <w:sz w:val="22"/>
        </w:rPr>
        <w:t xml:space="preserve">, </w:t>
      </w:r>
      <w:r w:rsidRPr="00320D08">
        <w:rPr>
          <w:rFonts w:ascii="Cambria" w:hAnsi="Cambria" w:cs="Times New Roman"/>
          <w:i/>
          <w:iCs/>
          <w:noProof/>
          <w:sz w:val="22"/>
        </w:rPr>
        <w:t>2</w:t>
      </w:r>
      <w:r w:rsidRPr="00320D08">
        <w:rPr>
          <w:rFonts w:ascii="Cambria" w:hAnsi="Cambria" w:cs="Times New Roman"/>
          <w:noProof/>
          <w:sz w:val="22"/>
        </w:rPr>
        <w:t>(2), 10–28.</w:t>
      </w:r>
    </w:p>
    <w:p w14:paraId="35E206D8" w14:textId="4CB03A4C" w:rsidR="007A371B" w:rsidRPr="00320D08" w:rsidRDefault="007A371B" w:rsidP="00320D08">
      <w:pPr>
        <w:widowControl w:val="0"/>
        <w:autoSpaceDE w:val="0"/>
        <w:autoSpaceDN w:val="0"/>
        <w:adjustRightInd w:val="0"/>
        <w:spacing w:line="276" w:lineRule="auto"/>
        <w:ind w:left="709" w:hanging="709"/>
        <w:rPr>
          <w:rFonts w:ascii="Cambria" w:hAnsi="Cambria" w:cs="Times New Roman"/>
          <w:noProof/>
          <w:sz w:val="22"/>
        </w:rPr>
      </w:pPr>
      <w:r w:rsidRPr="00320D08">
        <w:rPr>
          <w:rFonts w:ascii="Cambria" w:hAnsi="Cambria" w:cs="Times New Roman"/>
          <w:noProof/>
          <w:sz w:val="22"/>
        </w:rPr>
        <w:t xml:space="preserve">Suyanto, K. D., &amp; Supramono. (2012). Likuiditas, Leverage, Komisaris Independen, Dan Manajemen Laba Terhadap Agresivitas Pajak Perusahaan. </w:t>
      </w:r>
      <w:r w:rsidRPr="00320D08">
        <w:rPr>
          <w:rFonts w:ascii="Cambria" w:hAnsi="Cambria" w:cs="Times New Roman"/>
          <w:i/>
          <w:iCs/>
          <w:noProof/>
          <w:sz w:val="22"/>
        </w:rPr>
        <w:t>Jurnal Keuangan Dan Perbankan</w:t>
      </w:r>
      <w:r w:rsidRPr="00320D08">
        <w:rPr>
          <w:rFonts w:ascii="Cambria" w:hAnsi="Cambria" w:cs="Times New Roman"/>
          <w:noProof/>
          <w:sz w:val="22"/>
        </w:rPr>
        <w:t xml:space="preserve">, </w:t>
      </w:r>
      <w:r w:rsidRPr="00320D08">
        <w:rPr>
          <w:rFonts w:ascii="Cambria" w:hAnsi="Cambria" w:cs="Times New Roman"/>
          <w:i/>
          <w:iCs/>
          <w:noProof/>
          <w:sz w:val="22"/>
        </w:rPr>
        <w:t>16</w:t>
      </w:r>
      <w:r w:rsidRPr="00320D08">
        <w:rPr>
          <w:rFonts w:ascii="Cambria" w:hAnsi="Cambria" w:cs="Times New Roman"/>
          <w:noProof/>
          <w:sz w:val="22"/>
        </w:rPr>
        <w:t>(2), 167–177. http://jurkubank.wordpress.com</w:t>
      </w:r>
    </w:p>
    <w:p w14:paraId="3B2D511B" w14:textId="191543BF" w:rsidR="007A371B" w:rsidRPr="00320D08" w:rsidRDefault="007A371B" w:rsidP="00320D08">
      <w:pPr>
        <w:widowControl w:val="0"/>
        <w:autoSpaceDE w:val="0"/>
        <w:autoSpaceDN w:val="0"/>
        <w:adjustRightInd w:val="0"/>
        <w:spacing w:line="276" w:lineRule="auto"/>
        <w:ind w:left="709" w:hanging="709"/>
        <w:rPr>
          <w:rFonts w:ascii="Cambria" w:hAnsi="Cambria" w:cs="Times New Roman"/>
          <w:noProof/>
          <w:sz w:val="22"/>
        </w:rPr>
      </w:pPr>
      <w:r w:rsidRPr="00320D08">
        <w:rPr>
          <w:rFonts w:ascii="Cambria" w:hAnsi="Cambria" w:cs="Times New Roman"/>
          <w:noProof/>
          <w:sz w:val="22"/>
        </w:rPr>
        <w:t xml:space="preserve">Taylor, G., &amp; Richardson, G. (2012). International Corporate Tax Avoidance Practices: Evidence from Australian Firms. </w:t>
      </w:r>
      <w:r w:rsidRPr="00320D08">
        <w:rPr>
          <w:rFonts w:ascii="Cambria" w:hAnsi="Cambria" w:cs="Times New Roman"/>
          <w:i/>
          <w:iCs/>
          <w:noProof/>
          <w:sz w:val="22"/>
        </w:rPr>
        <w:t>The International Journal of Accounting</w:t>
      </w:r>
      <w:r w:rsidRPr="00320D08">
        <w:rPr>
          <w:rFonts w:ascii="Cambria" w:hAnsi="Cambria" w:cs="Times New Roman"/>
          <w:noProof/>
          <w:sz w:val="22"/>
        </w:rPr>
        <w:t xml:space="preserve">, </w:t>
      </w:r>
      <w:r w:rsidRPr="00320D08">
        <w:rPr>
          <w:rFonts w:ascii="Cambria" w:hAnsi="Cambria" w:cs="Times New Roman"/>
          <w:i/>
          <w:iCs/>
          <w:noProof/>
          <w:sz w:val="22"/>
        </w:rPr>
        <w:t>47</w:t>
      </w:r>
      <w:r w:rsidRPr="00320D08">
        <w:rPr>
          <w:rFonts w:ascii="Cambria" w:hAnsi="Cambria" w:cs="Times New Roman"/>
          <w:noProof/>
          <w:sz w:val="22"/>
        </w:rPr>
        <w:t>(4), 469–496. https://doi.org/https://doi.org/10.1016/j.intacc.2012.10.004</w:t>
      </w:r>
    </w:p>
    <w:p w14:paraId="548D3AF8" w14:textId="33C74EF7" w:rsidR="007A371B" w:rsidRPr="00320D08" w:rsidRDefault="007A371B" w:rsidP="00320D08">
      <w:pPr>
        <w:widowControl w:val="0"/>
        <w:autoSpaceDE w:val="0"/>
        <w:autoSpaceDN w:val="0"/>
        <w:adjustRightInd w:val="0"/>
        <w:spacing w:line="276" w:lineRule="auto"/>
        <w:ind w:left="709" w:hanging="709"/>
        <w:rPr>
          <w:rFonts w:ascii="Cambria" w:hAnsi="Cambria" w:cs="Times New Roman"/>
          <w:noProof/>
          <w:sz w:val="22"/>
        </w:rPr>
      </w:pPr>
      <w:r w:rsidRPr="00320D08">
        <w:rPr>
          <w:rFonts w:ascii="Cambria" w:hAnsi="Cambria" w:cs="Times New Roman"/>
          <w:noProof/>
          <w:sz w:val="22"/>
        </w:rPr>
        <w:t xml:space="preserve">Watts, R. L., &amp; Zimmerman, J. L. (1990). Positive Accounting Theory: A Ten Year Perspective. </w:t>
      </w:r>
      <w:r w:rsidRPr="00320D08">
        <w:rPr>
          <w:rFonts w:ascii="Cambria" w:hAnsi="Cambria" w:cs="Times New Roman"/>
          <w:i/>
          <w:iCs/>
          <w:noProof/>
          <w:sz w:val="22"/>
        </w:rPr>
        <w:t>The Accounting Review</w:t>
      </w:r>
      <w:r w:rsidRPr="00320D08">
        <w:rPr>
          <w:rFonts w:ascii="Cambria" w:hAnsi="Cambria" w:cs="Times New Roman"/>
          <w:noProof/>
          <w:sz w:val="22"/>
        </w:rPr>
        <w:t xml:space="preserve">, </w:t>
      </w:r>
      <w:r w:rsidRPr="00320D08">
        <w:rPr>
          <w:rFonts w:ascii="Cambria" w:hAnsi="Cambria" w:cs="Times New Roman"/>
          <w:i/>
          <w:iCs/>
          <w:noProof/>
          <w:sz w:val="22"/>
        </w:rPr>
        <w:t>65</w:t>
      </w:r>
      <w:r w:rsidRPr="00320D08">
        <w:rPr>
          <w:rFonts w:ascii="Cambria" w:hAnsi="Cambria" w:cs="Times New Roman"/>
          <w:noProof/>
          <w:sz w:val="22"/>
        </w:rPr>
        <w:t>(1), 131–156. http://www.jstor.org/stable/247880</w:t>
      </w:r>
    </w:p>
    <w:p w14:paraId="491C24D8" w14:textId="05B782C5" w:rsidR="007A371B" w:rsidRPr="00320D08" w:rsidRDefault="007A371B" w:rsidP="00320D08">
      <w:pPr>
        <w:widowControl w:val="0"/>
        <w:autoSpaceDE w:val="0"/>
        <w:autoSpaceDN w:val="0"/>
        <w:adjustRightInd w:val="0"/>
        <w:spacing w:line="276" w:lineRule="auto"/>
        <w:ind w:left="709" w:hanging="709"/>
        <w:rPr>
          <w:rFonts w:ascii="Cambria" w:hAnsi="Cambria" w:cs="Times New Roman"/>
          <w:noProof/>
          <w:sz w:val="22"/>
        </w:rPr>
      </w:pPr>
      <w:r w:rsidRPr="00320D08">
        <w:rPr>
          <w:rFonts w:ascii="Cambria" w:hAnsi="Cambria" w:cs="Times New Roman"/>
          <w:noProof/>
          <w:sz w:val="22"/>
        </w:rPr>
        <w:t xml:space="preserve">Yunita, I. (2011). Analisis Pengaruh Profitabilitas, Kebijakan Utang, Kebijakan Dividen, Size, dan Mekanisme Good Corporate Governance Terhadap Nilai Perusahaan (Studi Kasus Pada Perusahaan Manufaktur yang Terdaftar Di Bursa Efek Indonesia Periode 2005-2010). In </w:t>
      </w:r>
      <w:r w:rsidRPr="00320D08">
        <w:rPr>
          <w:rFonts w:ascii="Cambria" w:hAnsi="Cambria" w:cs="Times New Roman"/>
          <w:i/>
          <w:iCs/>
          <w:noProof/>
          <w:sz w:val="22"/>
        </w:rPr>
        <w:t>Tesis</w:t>
      </w:r>
      <w:r w:rsidRPr="00320D08">
        <w:rPr>
          <w:rFonts w:ascii="Cambria" w:hAnsi="Cambria" w:cs="Times New Roman"/>
          <w:noProof/>
          <w:sz w:val="22"/>
        </w:rPr>
        <w:t xml:space="preserve"> (Issue Semarang: Universitas Diponegoro.).</w:t>
      </w:r>
    </w:p>
    <w:p w14:paraId="57BE49C2" w14:textId="2363DDF1" w:rsidR="007A371B" w:rsidRPr="00320D08" w:rsidRDefault="007A371B" w:rsidP="00320D08">
      <w:pPr>
        <w:widowControl w:val="0"/>
        <w:autoSpaceDE w:val="0"/>
        <w:autoSpaceDN w:val="0"/>
        <w:adjustRightInd w:val="0"/>
        <w:spacing w:line="276" w:lineRule="auto"/>
        <w:ind w:left="709" w:hanging="709"/>
        <w:rPr>
          <w:rFonts w:ascii="Cambria" w:hAnsi="Cambria" w:cs="Times New Roman"/>
          <w:noProof/>
          <w:sz w:val="22"/>
        </w:rPr>
      </w:pPr>
      <w:r w:rsidRPr="00320D08">
        <w:rPr>
          <w:rFonts w:ascii="Cambria" w:hAnsi="Cambria" w:cs="Times New Roman"/>
          <w:noProof/>
          <w:sz w:val="22"/>
        </w:rPr>
        <w:t xml:space="preserve">Zaki, F., Ginting, B., Devi, K., &amp; BAriah, Ch. (2019). Analisis Hukum Terhadap Tindakan Penghindaran Pajak (Tax Avoidance) yang Dilakukan oleh Perusahaan Berdasarkan Hukum Pajak di Indonesia. </w:t>
      </w:r>
      <w:r w:rsidRPr="00320D08">
        <w:rPr>
          <w:rFonts w:ascii="Cambria" w:hAnsi="Cambria" w:cs="Times New Roman"/>
          <w:i/>
          <w:iCs/>
          <w:noProof/>
          <w:sz w:val="22"/>
        </w:rPr>
        <w:t>Usu Law Journal</w:t>
      </w:r>
      <w:r w:rsidRPr="00320D08">
        <w:rPr>
          <w:rFonts w:ascii="Cambria" w:hAnsi="Cambria" w:cs="Times New Roman"/>
          <w:noProof/>
          <w:sz w:val="22"/>
        </w:rPr>
        <w:t xml:space="preserve">, </w:t>
      </w:r>
      <w:r w:rsidRPr="00320D08">
        <w:rPr>
          <w:rFonts w:ascii="Cambria" w:hAnsi="Cambria" w:cs="Times New Roman"/>
          <w:i/>
          <w:iCs/>
          <w:noProof/>
          <w:sz w:val="22"/>
        </w:rPr>
        <w:t>7</w:t>
      </w:r>
      <w:r w:rsidRPr="00320D08">
        <w:rPr>
          <w:rFonts w:ascii="Cambria" w:hAnsi="Cambria" w:cs="Times New Roman"/>
          <w:noProof/>
          <w:sz w:val="22"/>
        </w:rPr>
        <w:t>(6), 1–15.</w:t>
      </w:r>
    </w:p>
    <w:p w14:paraId="2C4E1441" w14:textId="77777777" w:rsidR="001F5C48" w:rsidRPr="00C5133C" w:rsidRDefault="00C374C8" w:rsidP="00C5133C">
      <w:pPr>
        <w:pStyle w:val="Heading1"/>
        <w:spacing w:after="0" w:line="276" w:lineRule="auto"/>
        <w:rPr>
          <w:rFonts w:ascii="Cambria" w:hAnsi="Cambria"/>
          <w:sz w:val="22"/>
          <w:szCs w:val="22"/>
        </w:rPr>
      </w:pPr>
      <w:r w:rsidRPr="00320D08">
        <w:rPr>
          <w:rFonts w:ascii="Cambria" w:hAnsi="Cambria"/>
          <w:sz w:val="22"/>
          <w:szCs w:val="22"/>
        </w:rPr>
        <w:fldChar w:fldCharType="end"/>
      </w:r>
      <w:bookmarkStart w:id="32" w:name="_Toc84232448"/>
    </w:p>
    <w:bookmarkEnd w:id="32"/>
    <w:p w14:paraId="06FFE85B" w14:textId="40482156" w:rsidR="00C374C8" w:rsidRPr="00C5133C" w:rsidRDefault="00C374C8" w:rsidP="00C5133C">
      <w:pPr>
        <w:pStyle w:val="Heading7"/>
        <w:spacing w:line="276" w:lineRule="auto"/>
        <w:rPr>
          <w:rFonts w:ascii="Cambria" w:hAnsi="Cambria"/>
          <w:sz w:val="22"/>
        </w:rPr>
      </w:pPr>
    </w:p>
    <w:p w14:paraId="303B828C" w14:textId="77777777" w:rsidR="001E2BDB" w:rsidRPr="00C5133C" w:rsidRDefault="001E2BDB" w:rsidP="00C5133C">
      <w:pPr>
        <w:spacing w:line="276" w:lineRule="auto"/>
        <w:ind w:firstLine="0"/>
        <w:rPr>
          <w:rFonts w:ascii="Cambria" w:hAnsi="Cambria"/>
          <w:sz w:val="22"/>
        </w:rPr>
      </w:pPr>
    </w:p>
    <w:p w14:paraId="760C01FF" w14:textId="77777777" w:rsidR="001E2BDB" w:rsidRPr="00C5133C" w:rsidRDefault="001E2BDB" w:rsidP="00C5133C">
      <w:pPr>
        <w:spacing w:line="276" w:lineRule="auto"/>
        <w:ind w:firstLine="0"/>
        <w:rPr>
          <w:rFonts w:ascii="Cambria" w:hAnsi="Cambria"/>
          <w:sz w:val="22"/>
        </w:rPr>
      </w:pPr>
    </w:p>
    <w:p w14:paraId="45B5809F" w14:textId="77777777" w:rsidR="001E2BDB" w:rsidRPr="00C5133C" w:rsidRDefault="001E2BDB" w:rsidP="00C5133C">
      <w:pPr>
        <w:spacing w:line="276" w:lineRule="auto"/>
        <w:ind w:firstLine="0"/>
        <w:rPr>
          <w:rFonts w:ascii="Cambria" w:hAnsi="Cambria"/>
          <w:sz w:val="22"/>
        </w:rPr>
      </w:pPr>
    </w:p>
    <w:p w14:paraId="5F14220F" w14:textId="77777777" w:rsidR="001E2BDB" w:rsidRPr="00C5133C" w:rsidRDefault="001E2BDB" w:rsidP="00C5133C">
      <w:pPr>
        <w:spacing w:line="276" w:lineRule="auto"/>
        <w:ind w:firstLine="0"/>
        <w:rPr>
          <w:rFonts w:ascii="Cambria" w:hAnsi="Cambria"/>
          <w:sz w:val="22"/>
        </w:rPr>
      </w:pPr>
    </w:p>
    <w:p w14:paraId="5134B24E" w14:textId="77777777" w:rsidR="009231EA" w:rsidRPr="00C5133C" w:rsidRDefault="009231EA" w:rsidP="00C5133C">
      <w:pPr>
        <w:spacing w:line="276" w:lineRule="auto"/>
        <w:rPr>
          <w:rFonts w:ascii="Cambria" w:hAnsi="Cambria"/>
          <w:sz w:val="22"/>
        </w:rPr>
      </w:pPr>
    </w:p>
    <w:p w14:paraId="4E7588D4" w14:textId="77777777" w:rsidR="009231EA" w:rsidRPr="00C5133C" w:rsidRDefault="009231EA" w:rsidP="00C5133C">
      <w:pPr>
        <w:spacing w:line="276" w:lineRule="auto"/>
        <w:ind w:firstLine="0"/>
        <w:rPr>
          <w:rFonts w:ascii="Cambria" w:hAnsi="Cambria"/>
          <w:sz w:val="22"/>
        </w:rPr>
      </w:pPr>
    </w:p>
    <w:p w14:paraId="42FCC443" w14:textId="77777777" w:rsidR="00C374C8" w:rsidRPr="00C5133C" w:rsidRDefault="00C374C8" w:rsidP="00C5133C">
      <w:pPr>
        <w:spacing w:line="276" w:lineRule="auto"/>
        <w:rPr>
          <w:rFonts w:ascii="Cambria" w:hAnsi="Cambria"/>
          <w:sz w:val="22"/>
        </w:rPr>
      </w:pPr>
    </w:p>
    <w:p w14:paraId="760224B0" w14:textId="77777777" w:rsidR="00C374C8" w:rsidRPr="00C5133C" w:rsidRDefault="00C374C8" w:rsidP="00C5133C">
      <w:pPr>
        <w:spacing w:line="276" w:lineRule="auto"/>
        <w:rPr>
          <w:rFonts w:ascii="Cambria" w:hAnsi="Cambria"/>
          <w:sz w:val="22"/>
        </w:rPr>
      </w:pPr>
    </w:p>
    <w:p w14:paraId="4F70C755" w14:textId="77777777" w:rsidR="009231EA" w:rsidRPr="00C5133C" w:rsidRDefault="009231EA" w:rsidP="00AB7B17">
      <w:pPr>
        <w:spacing w:line="240" w:lineRule="auto"/>
        <w:rPr>
          <w:rFonts w:ascii="Cambria" w:hAnsi="Cambria"/>
          <w:sz w:val="22"/>
        </w:rPr>
      </w:pPr>
    </w:p>
    <w:sectPr w:rsidR="009231EA" w:rsidRPr="00C5133C" w:rsidSect="00953011">
      <w:headerReference w:type="even" r:id="rId23"/>
      <w:headerReference w:type="default" r:id="rId24"/>
      <w:type w:val="continuous"/>
      <w:pgSz w:w="11906" w:h="16838"/>
      <w:pgMar w:top="1134" w:right="1134" w:bottom="1134" w:left="1701" w:header="709" w:footer="709" w:gutter="0"/>
      <w:pgNumType w:start="15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C6B24" w14:textId="77777777" w:rsidR="00A612E6" w:rsidRDefault="00A612E6" w:rsidP="00656150">
      <w:pPr>
        <w:spacing w:line="240" w:lineRule="auto"/>
      </w:pPr>
      <w:r>
        <w:separator/>
      </w:r>
    </w:p>
  </w:endnote>
  <w:endnote w:type="continuationSeparator" w:id="0">
    <w:p w14:paraId="7991FBDF" w14:textId="77777777" w:rsidR="00A612E6" w:rsidRDefault="00A612E6" w:rsidP="006561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66033" w14:textId="77777777" w:rsidR="00A612E6" w:rsidRDefault="00A612E6" w:rsidP="00656150">
      <w:pPr>
        <w:spacing w:line="240" w:lineRule="auto"/>
      </w:pPr>
      <w:r>
        <w:separator/>
      </w:r>
    </w:p>
  </w:footnote>
  <w:footnote w:type="continuationSeparator" w:id="0">
    <w:p w14:paraId="71B2F1C5" w14:textId="77777777" w:rsidR="00A612E6" w:rsidRDefault="00A612E6" w:rsidP="006561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mbria" w:hAnsi="Cambria"/>
      </w:rPr>
      <w:id w:val="-1401294841"/>
      <w:docPartObj>
        <w:docPartGallery w:val="Page Numbers (Top of Page)"/>
        <w:docPartUnique/>
      </w:docPartObj>
    </w:sdtPr>
    <w:sdtEndPr>
      <w:rPr>
        <w:noProof/>
      </w:rPr>
    </w:sdtEndPr>
    <w:sdtContent>
      <w:p w14:paraId="2E31AE18" w14:textId="6A0D5B59" w:rsidR="00ED2991" w:rsidRPr="00ED2991" w:rsidRDefault="00ED2991" w:rsidP="00ED2991">
        <w:pPr>
          <w:pStyle w:val="Header"/>
          <w:ind w:firstLine="25"/>
          <w:rPr>
            <w:rFonts w:ascii="Cambria" w:hAnsi="Cambria"/>
            <w:noProof/>
          </w:rPr>
        </w:pPr>
        <w:r w:rsidRPr="00DE5DE8">
          <w:rPr>
            <w:rFonts w:ascii="Cambria" w:hAnsi="Cambria"/>
          </w:rPr>
          <w:fldChar w:fldCharType="begin"/>
        </w:r>
        <w:r w:rsidRPr="00DE5DE8">
          <w:rPr>
            <w:rFonts w:ascii="Cambria" w:hAnsi="Cambria"/>
          </w:rPr>
          <w:instrText xml:space="preserve"> PAGE   \* MERGEFORMAT </w:instrText>
        </w:r>
        <w:r w:rsidRPr="00DE5DE8">
          <w:rPr>
            <w:rFonts w:ascii="Cambria" w:hAnsi="Cambria"/>
          </w:rPr>
          <w:fldChar w:fldCharType="separate"/>
        </w:r>
        <w:r>
          <w:rPr>
            <w:rFonts w:ascii="Cambria" w:hAnsi="Cambria"/>
          </w:rPr>
          <w:t>2</w:t>
        </w:r>
        <w:r w:rsidRPr="00DE5DE8">
          <w:rPr>
            <w:rFonts w:ascii="Cambria" w:hAnsi="Cambria"/>
            <w:noProof/>
          </w:rPr>
          <w:fldChar w:fldCharType="end"/>
        </w:r>
        <w:r w:rsidRPr="00DE5DE8">
          <w:rPr>
            <w:rFonts w:ascii="Cambria" w:hAnsi="Cambria"/>
          </w:rPr>
          <w:t xml:space="preserve"> | </w:t>
        </w:r>
        <w:r w:rsidRPr="00DE5DE8">
          <w:rPr>
            <w:rFonts w:ascii="Cambria" w:hAnsi="Cambria"/>
            <w:i/>
          </w:rPr>
          <w:t>Bina Ekonomi</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mbria" w:hAnsi="Cambria"/>
      </w:rPr>
      <w:id w:val="176318283"/>
      <w:docPartObj>
        <w:docPartGallery w:val="Page Numbers (Top of Page)"/>
        <w:docPartUnique/>
      </w:docPartObj>
    </w:sdtPr>
    <w:sdtEndPr/>
    <w:sdtContent>
      <w:p w14:paraId="3E10F856" w14:textId="2E24DE1B" w:rsidR="009D024B" w:rsidRPr="00ED2991" w:rsidRDefault="00ED2991" w:rsidP="00ED2991">
        <w:pPr>
          <w:pStyle w:val="Header"/>
          <w:jc w:val="right"/>
          <w:rPr>
            <w:rFonts w:ascii="Cambria" w:hAnsi="Cambria"/>
          </w:rPr>
        </w:pPr>
        <w:r>
          <w:rPr>
            <w:rFonts w:ascii="Cambria" w:hAnsi="Cambria"/>
            <w:i/>
          </w:rPr>
          <w:t xml:space="preserve">Volume 25 No 2 Tahun 2021 </w:t>
        </w:r>
        <w:r>
          <w:rPr>
            <w:rFonts w:ascii="Cambria" w:hAnsi="Cambria"/>
          </w:rPr>
          <w:t xml:space="preserve">| </w:t>
        </w:r>
        <w:r>
          <w:rPr>
            <w:rFonts w:ascii="Cambria" w:hAnsi="Cambria"/>
          </w:rPr>
          <w:fldChar w:fldCharType="begin"/>
        </w:r>
        <w:r>
          <w:rPr>
            <w:rFonts w:ascii="Cambria" w:hAnsi="Cambria"/>
          </w:rPr>
          <w:instrText xml:space="preserve"> PAGE   \* MERGEFORMAT </w:instrText>
        </w:r>
        <w:r>
          <w:rPr>
            <w:rFonts w:ascii="Cambria" w:hAnsi="Cambria"/>
          </w:rPr>
          <w:fldChar w:fldCharType="separate"/>
        </w:r>
        <w:r>
          <w:rPr>
            <w:rFonts w:ascii="Cambria" w:hAnsi="Cambria"/>
          </w:rPr>
          <w:t>1</w:t>
        </w:r>
        <w:r>
          <w:rPr>
            <w:rFonts w:ascii="Cambria" w:hAnsi="Cambria"/>
            <w:noProof/>
          </w:rPr>
          <w:fldChar w:fldCharType="end"/>
        </w:r>
      </w:p>
    </w:sdtContent>
  </w:sdt>
  <w:p w14:paraId="2C13DA1A" w14:textId="77777777" w:rsidR="009D024B" w:rsidRDefault="009D024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D635F"/>
    <w:multiLevelType w:val="hybridMultilevel"/>
    <w:tmpl w:val="E4D698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766CB"/>
    <w:multiLevelType w:val="hybridMultilevel"/>
    <w:tmpl w:val="E36AD6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0151C0F"/>
    <w:multiLevelType w:val="hybridMultilevel"/>
    <w:tmpl w:val="D340CBCA"/>
    <w:lvl w:ilvl="0" w:tplc="95127E7C">
      <w:start w:val="1"/>
      <w:numFmt w:val="lowerRoman"/>
      <w:lvlText w:val="%1."/>
      <w:lvlJc w:val="left"/>
      <w:pPr>
        <w:ind w:left="1440" w:hanging="72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3" w15:restartNumberingAfterBreak="0">
    <w:nsid w:val="14ED71CD"/>
    <w:multiLevelType w:val="hybridMultilevel"/>
    <w:tmpl w:val="EF4E1306"/>
    <w:lvl w:ilvl="0" w:tplc="4516C488">
      <w:start w:val="1"/>
      <w:numFmt w:val="lowerLetter"/>
      <w:pStyle w:val="subsubbab"/>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 w15:restartNumberingAfterBreak="0">
    <w:nsid w:val="1EC403C3"/>
    <w:multiLevelType w:val="hybridMultilevel"/>
    <w:tmpl w:val="FCC499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C4849"/>
    <w:multiLevelType w:val="hybridMultilevel"/>
    <w:tmpl w:val="1D8E30C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15:restartNumberingAfterBreak="0">
    <w:nsid w:val="354C73AA"/>
    <w:multiLevelType w:val="hybridMultilevel"/>
    <w:tmpl w:val="1E8413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CF5126"/>
    <w:multiLevelType w:val="hybridMultilevel"/>
    <w:tmpl w:val="E3224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81E21DC"/>
    <w:multiLevelType w:val="hybridMultilevel"/>
    <w:tmpl w:val="732CE45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15:restartNumberingAfterBreak="0">
    <w:nsid w:val="3AD23CAC"/>
    <w:multiLevelType w:val="multilevel"/>
    <w:tmpl w:val="277C0CB4"/>
    <w:styleLink w:val="KTTA1"/>
    <w:lvl w:ilvl="0">
      <w:start w:val="1"/>
      <w:numFmt w:val="upperRoman"/>
      <w:lvlText w:val="BAB %1"/>
      <w:lvlJc w:val="center"/>
      <w:pPr>
        <w:ind w:left="1069" w:hanging="360"/>
      </w:pPr>
      <w:rPr>
        <w:rFonts w:ascii="Times New Roman" w:hAnsi="Times New Roman" w:cs="Times New Roman" w:hint="default"/>
        <w:b/>
        <w:i w:val="0"/>
        <w:caps/>
        <w:sz w:val="28"/>
      </w:rPr>
    </w:lvl>
    <w:lvl w:ilvl="1">
      <w:start w:val="1"/>
      <w:numFmt w:val="upperLetter"/>
      <w:pStyle w:val="SubBab"/>
      <w:lvlText w:val="%2."/>
      <w:lvlJc w:val="left"/>
      <w:pPr>
        <w:ind w:left="425" w:hanging="425"/>
      </w:pPr>
      <w:rPr>
        <w:rFonts w:ascii="Times New Roman" w:hAnsi="Times New Roman" w:cs="Times New Roman" w:hint="default"/>
        <w:b/>
        <w:i w:val="0"/>
        <w:sz w:val="24"/>
      </w:rPr>
    </w:lvl>
    <w:lvl w:ilvl="2">
      <w:start w:val="1"/>
      <w:numFmt w:val="decimal"/>
      <w:pStyle w:val="SubSubBab0"/>
      <w:lvlText w:val="%3."/>
      <w:lvlJc w:val="left"/>
      <w:pPr>
        <w:ind w:left="425" w:hanging="425"/>
      </w:pPr>
      <w:rPr>
        <w:rFonts w:ascii="Times New Roman" w:hAnsi="Times New Roman" w:cs="Times New Roman" w:hint="default"/>
        <w:b/>
        <w:i w:val="0"/>
        <w:sz w:val="24"/>
      </w:rPr>
    </w:lvl>
    <w:lvl w:ilvl="3">
      <w:start w:val="1"/>
      <w:numFmt w:val="lowerLetter"/>
      <w:pStyle w:val="SubSubSubBab"/>
      <w:lvlText w:val="%4."/>
      <w:lvlJc w:val="left"/>
      <w:pPr>
        <w:ind w:left="425" w:hanging="425"/>
      </w:pPr>
      <w:rPr>
        <w:rFonts w:ascii="Times New Roman" w:hAnsi="Times New Roman" w:cs="Times New Roman" w:hint="default"/>
        <w:sz w:val="24"/>
      </w:rPr>
    </w:lvl>
    <w:lvl w:ilvl="4">
      <w:start w:val="1"/>
      <w:numFmt w:val="decimal"/>
      <w:lvlText w:val="%5)"/>
      <w:lvlJc w:val="left"/>
      <w:pPr>
        <w:ind w:left="425" w:hanging="425"/>
      </w:pPr>
      <w:rPr>
        <w:rFonts w:ascii="Times New Roman" w:hAnsi="Times New Roman" w:cs="Times New Roman" w:hint="default"/>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C7D3519"/>
    <w:multiLevelType w:val="hybridMultilevel"/>
    <w:tmpl w:val="FFECA17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3D3F675D"/>
    <w:multiLevelType w:val="hybridMultilevel"/>
    <w:tmpl w:val="BCBE48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D830A7D"/>
    <w:multiLevelType w:val="hybridMultilevel"/>
    <w:tmpl w:val="A756FE04"/>
    <w:lvl w:ilvl="0" w:tplc="E5CA10C4">
      <w:start w:val="1"/>
      <w:numFmt w:val="lowerRoman"/>
      <w:lvlText w:val="%1."/>
      <w:lvlJc w:val="left"/>
      <w:pPr>
        <w:ind w:left="1440" w:hanging="72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13" w15:restartNumberingAfterBreak="0">
    <w:nsid w:val="400D741F"/>
    <w:multiLevelType w:val="multilevel"/>
    <w:tmpl w:val="3522C53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4" w15:restartNumberingAfterBreak="0">
    <w:nsid w:val="40E37B46"/>
    <w:multiLevelType w:val="hybridMultilevel"/>
    <w:tmpl w:val="8BB29202"/>
    <w:lvl w:ilvl="0" w:tplc="04210019">
      <w:start w:val="3"/>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2A45593"/>
    <w:multiLevelType w:val="hybridMultilevel"/>
    <w:tmpl w:val="F5345F86"/>
    <w:lvl w:ilvl="0" w:tplc="59A68D4A">
      <w:start w:val="1"/>
      <w:numFmt w:val="lowerRoman"/>
      <w:lvlText w:val="%1."/>
      <w:lvlJc w:val="left"/>
      <w:pPr>
        <w:ind w:left="1440" w:hanging="72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16" w15:restartNumberingAfterBreak="0">
    <w:nsid w:val="48C03EA1"/>
    <w:multiLevelType w:val="hybridMultilevel"/>
    <w:tmpl w:val="B860F3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657261"/>
    <w:multiLevelType w:val="hybridMultilevel"/>
    <w:tmpl w:val="7644A0D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15:restartNumberingAfterBreak="0">
    <w:nsid w:val="56135AA1"/>
    <w:multiLevelType w:val="hybridMultilevel"/>
    <w:tmpl w:val="3B10211E"/>
    <w:lvl w:ilvl="0" w:tplc="04090001">
      <w:start w:val="1"/>
      <w:numFmt w:val="bullet"/>
      <w:lvlText w:val=""/>
      <w:lvlJc w:val="left"/>
      <w:pPr>
        <w:ind w:left="720" w:hanging="360"/>
      </w:pPr>
      <w:rPr>
        <w:rFonts w:ascii="Symbol" w:hAnsi="Symbol"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15:restartNumberingAfterBreak="0">
    <w:nsid w:val="56594954"/>
    <w:multiLevelType w:val="multilevel"/>
    <w:tmpl w:val="711A56C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7355D3C"/>
    <w:multiLevelType w:val="multilevel"/>
    <w:tmpl w:val="44A4D3A8"/>
    <w:lvl w:ilvl="0">
      <w:start w:val="1"/>
      <w:numFmt w:val="lowerLetter"/>
      <w:lvlText w:val="%1."/>
      <w:lvlJc w:val="left"/>
      <w:pPr>
        <w:ind w:left="1860" w:hanging="360"/>
      </w:p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abstractNum w:abstractNumId="21" w15:restartNumberingAfterBreak="0">
    <w:nsid w:val="599207F9"/>
    <w:multiLevelType w:val="hybridMultilevel"/>
    <w:tmpl w:val="9B92AF6C"/>
    <w:lvl w:ilvl="0" w:tplc="74A4128A">
      <w:start w:val="1"/>
      <w:numFmt w:val="decimal"/>
      <w:pStyle w:val="SubBab4"/>
      <w:lvlText w:val="4.%1"/>
      <w:lvlJc w:val="left"/>
      <w:pPr>
        <w:ind w:left="720" w:hanging="360"/>
      </w:pPr>
      <w:rPr>
        <w:rFonts w:ascii="Times New Roman" w:hAnsi="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63ED44D9"/>
    <w:multiLevelType w:val="hybridMultilevel"/>
    <w:tmpl w:val="13621CB6"/>
    <w:lvl w:ilvl="0" w:tplc="04090001">
      <w:start w:val="1"/>
      <w:numFmt w:val="bullet"/>
      <w:lvlText w:val=""/>
      <w:lvlJc w:val="left"/>
      <w:pPr>
        <w:ind w:left="1015" w:hanging="360"/>
      </w:pPr>
      <w:rPr>
        <w:rFonts w:ascii="Symbol" w:hAnsi="Symbol" w:hint="default"/>
      </w:rPr>
    </w:lvl>
    <w:lvl w:ilvl="1" w:tplc="04090003">
      <w:start w:val="1"/>
      <w:numFmt w:val="bullet"/>
      <w:lvlText w:val="o"/>
      <w:lvlJc w:val="left"/>
      <w:pPr>
        <w:ind w:left="1735" w:hanging="360"/>
      </w:pPr>
      <w:rPr>
        <w:rFonts w:ascii="Courier New" w:hAnsi="Courier New" w:cs="Courier New" w:hint="default"/>
      </w:rPr>
    </w:lvl>
    <w:lvl w:ilvl="2" w:tplc="04090005">
      <w:start w:val="1"/>
      <w:numFmt w:val="bullet"/>
      <w:lvlText w:val=""/>
      <w:lvlJc w:val="left"/>
      <w:pPr>
        <w:ind w:left="2455" w:hanging="360"/>
      </w:pPr>
      <w:rPr>
        <w:rFonts w:ascii="Wingdings" w:hAnsi="Wingdings" w:hint="default"/>
      </w:rPr>
    </w:lvl>
    <w:lvl w:ilvl="3" w:tplc="04090001">
      <w:start w:val="1"/>
      <w:numFmt w:val="bullet"/>
      <w:lvlText w:val=""/>
      <w:lvlJc w:val="left"/>
      <w:pPr>
        <w:ind w:left="3175" w:hanging="360"/>
      </w:pPr>
      <w:rPr>
        <w:rFonts w:ascii="Symbol" w:hAnsi="Symbol" w:hint="default"/>
      </w:rPr>
    </w:lvl>
    <w:lvl w:ilvl="4" w:tplc="04090003">
      <w:start w:val="1"/>
      <w:numFmt w:val="bullet"/>
      <w:lvlText w:val="o"/>
      <w:lvlJc w:val="left"/>
      <w:pPr>
        <w:ind w:left="3895" w:hanging="360"/>
      </w:pPr>
      <w:rPr>
        <w:rFonts w:ascii="Courier New" w:hAnsi="Courier New" w:cs="Courier New" w:hint="default"/>
      </w:rPr>
    </w:lvl>
    <w:lvl w:ilvl="5" w:tplc="04090005">
      <w:start w:val="1"/>
      <w:numFmt w:val="bullet"/>
      <w:lvlText w:val=""/>
      <w:lvlJc w:val="left"/>
      <w:pPr>
        <w:ind w:left="4615" w:hanging="360"/>
      </w:pPr>
      <w:rPr>
        <w:rFonts w:ascii="Wingdings" w:hAnsi="Wingdings" w:hint="default"/>
      </w:rPr>
    </w:lvl>
    <w:lvl w:ilvl="6" w:tplc="04090001">
      <w:start w:val="1"/>
      <w:numFmt w:val="bullet"/>
      <w:lvlText w:val=""/>
      <w:lvlJc w:val="left"/>
      <w:pPr>
        <w:ind w:left="5335" w:hanging="360"/>
      </w:pPr>
      <w:rPr>
        <w:rFonts w:ascii="Symbol" w:hAnsi="Symbol" w:hint="default"/>
      </w:rPr>
    </w:lvl>
    <w:lvl w:ilvl="7" w:tplc="04090003">
      <w:start w:val="1"/>
      <w:numFmt w:val="bullet"/>
      <w:lvlText w:val="o"/>
      <w:lvlJc w:val="left"/>
      <w:pPr>
        <w:ind w:left="6055" w:hanging="360"/>
      </w:pPr>
      <w:rPr>
        <w:rFonts w:ascii="Courier New" w:hAnsi="Courier New" w:cs="Courier New" w:hint="default"/>
      </w:rPr>
    </w:lvl>
    <w:lvl w:ilvl="8" w:tplc="04090005">
      <w:start w:val="1"/>
      <w:numFmt w:val="bullet"/>
      <w:lvlText w:val=""/>
      <w:lvlJc w:val="left"/>
      <w:pPr>
        <w:ind w:left="6775" w:hanging="360"/>
      </w:pPr>
      <w:rPr>
        <w:rFonts w:ascii="Wingdings" w:hAnsi="Wingdings" w:hint="default"/>
      </w:rPr>
    </w:lvl>
  </w:abstractNum>
  <w:abstractNum w:abstractNumId="23" w15:restartNumberingAfterBreak="0">
    <w:nsid w:val="6880315B"/>
    <w:multiLevelType w:val="multilevel"/>
    <w:tmpl w:val="83A60F9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9827E48"/>
    <w:multiLevelType w:val="hybridMultilevel"/>
    <w:tmpl w:val="6CEE50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EBB4736"/>
    <w:multiLevelType w:val="hybridMultilevel"/>
    <w:tmpl w:val="67D01C0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42E5871"/>
    <w:multiLevelType w:val="hybridMultilevel"/>
    <w:tmpl w:val="7F66D5A2"/>
    <w:lvl w:ilvl="0" w:tplc="0504C04A">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4"/>
  </w:num>
  <w:num w:numId="21">
    <w:abstractNumId w:val="18"/>
  </w:num>
  <w:num w:numId="22">
    <w:abstractNumId w:val="7"/>
  </w:num>
  <w:num w:numId="23">
    <w:abstractNumId w:val="6"/>
  </w:num>
  <w:num w:numId="24">
    <w:abstractNumId w:val="4"/>
  </w:num>
  <w:num w:numId="25">
    <w:abstractNumId w:val="0"/>
  </w:num>
  <w:num w:numId="26">
    <w:abstractNumId w:val="14"/>
  </w:num>
  <w:num w:numId="27">
    <w:abstractNumId w:val="10"/>
  </w:num>
  <w:num w:numId="28">
    <w:abstractNumId w:val="5"/>
  </w:num>
  <w:num w:numId="29">
    <w:abstractNumId w:val="25"/>
  </w:num>
  <w:num w:numId="30">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FCA"/>
    <w:rsid w:val="00000379"/>
    <w:rsid w:val="000033B5"/>
    <w:rsid w:val="00005550"/>
    <w:rsid w:val="000138AA"/>
    <w:rsid w:val="00013E82"/>
    <w:rsid w:val="0001638C"/>
    <w:rsid w:val="000454A5"/>
    <w:rsid w:val="000655E1"/>
    <w:rsid w:val="000664A5"/>
    <w:rsid w:val="000775F6"/>
    <w:rsid w:val="000811FA"/>
    <w:rsid w:val="00083B63"/>
    <w:rsid w:val="000A0F92"/>
    <w:rsid w:val="000B4A27"/>
    <w:rsid w:val="000B7204"/>
    <w:rsid w:val="000D3059"/>
    <w:rsid w:val="000D4B56"/>
    <w:rsid w:val="000E5E5A"/>
    <w:rsid w:val="000F46A4"/>
    <w:rsid w:val="000F7C94"/>
    <w:rsid w:val="001233A6"/>
    <w:rsid w:val="001404CF"/>
    <w:rsid w:val="00141F51"/>
    <w:rsid w:val="00143894"/>
    <w:rsid w:val="0015067E"/>
    <w:rsid w:val="00172514"/>
    <w:rsid w:val="0017361C"/>
    <w:rsid w:val="00176FCA"/>
    <w:rsid w:val="00177C2A"/>
    <w:rsid w:val="0018793B"/>
    <w:rsid w:val="001938B2"/>
    <w:rsid w:val="00193E1D"/>
    <w:rsid w:val="00195991"/>
    <w:rsid w:val="001A11D9"/>
    <w:rsid w:val="001B0532"/>
    <w:rsid w:val="001C68B4"/>
    <w:rsid w:val="001E2BDB"/>
    <w:rsid w:val="001E3C98"/>
    <w:rsid w:val="001E476E"/>
    <w:rsid w:val="001F334D"/>
    <w:rsid w:val="001F5C48"/>
    <w:rsid w:val="00212A8D"/>
    <w:rsid w:val="002146A5"/>
    <w:rsid w:val="002222F4"/>
    <w:rsid w:val="0023125F"/>
    <w:rsid w:val="00235A2B"/>
    <w:rsid w:val="00254373"/>
    <w:rsid w:val="0025437F"/>
    <w:rsid w:val="0026033D"/>
    <w:rsid w:val="002645F3"/>
    <w:rsid w:val="00264649"/>
    <w:rsid w:val="0027437E"/>
    <w:rsid w:val="00280FE1"/>
    <w:rsid w:val="00286592"/>
    <w:rsid w:val="00292B44"/>
    <w:rsid w:val="002A0D9F"/>
    <w:rsid w:val="002C0EA0"/>
    <w:rsid w:val="002C4C00"/>
    <w:rsid w:val="002E152E"/>
    <w:rsid w:val="002E5449"/>
    <w:rsid w:val="002F7A0A"/>
    <w:rsid w:val="00303495"/>
    <w:rsid w:val="00311A26"/>
    <w:rsid w:val="003178B6"/>
    <w:rsid w:val="00320D08"/>
    <w:rsid w:val="00325D40"/>
    <w:rsid w:val="003265CE"/>
    <w:rsid w:val="003276E5"/>
    <w:rsid w:val="00332F29"/>
    <w:rsid w:val="00335A30"/>
    <w:rsid w:val="00361827"/>
    <w:rsid w:val="00361DC5"/>
    <w:rsid w:val="00362203"/>
    <w:rsid w:val="00367AD4"/>
    <w:rsid w:val="0037789E"/>
    <w:rsid w:val="00383445"/>
    <w:rsid w:val="003845B9"/>
    <w:rsid w:val="00391C31"/>
    <w:rsid w:val="003B2FAE"/>
    <w:rsid w:val="003C59C9"/>
    <w:rsid w:val="003D0F96"/>
    <w:rsid w:val="003D3DA6"/>
    <w:rsid w:val="004023EB"/>
    <w:rsid w:val="0041166D"/>
    <w:rsid w:val="004149A2"/>
    <w:rsid w:val="00417F55"/>
    <w:rsid w:val="00420DE2"/>
    <w:rsid w:val="00423A9B"/>
    <w:rsid w:val="00431E98"/>
    <w:rsid w:val="00442890"/>
    <w:rsid w:val="00444985"/>
    <w:rsid w:val="00456831"/>
    <w:rsid w:val="00460550"/>
    <w:rsid w:val="00484584"/>
    <w:rsid w:val="0048741C"/>
    <w:rsid w:val="0049008E"/>
    <w:rsid w:val="0049500B"/>
    <w:rsid w:val="0049690A"/>
    <w:rsid w:val="00497315"/>
    <w:rsid w:val="004B41DA"/>
    <w:rsid w:val="004C2EE0"/>
    <w:rsid w:val="004D040D"/>
    <w:rsid w:val="004D2416"/>
    <w:rsid w:val="004D67AB"/>
    <w:rsid w:val="004E6360"/>
    <w:rsid w:val="004E6C6B"/>
    <w:rsid w:val="004F7E06"/>
    <w:rsid w:val="00505D7B"/>
    <w:rsid w:val="00517739"/>
    <w:rsid w:val="00531ED9"/>
    <w:rsid w:val="00562456"/>
    <w:rsid w:val="0058701C"/>
    <w:rsid w:val="005902C7"/>
    <w:rsid w:val="005A261A"/>
    <w:rsid w:val="005A547F"/>
    <w:rsid w:val="005A5911"/>
    <w:rsid w:val="005C6FAF"/>
    <w:rsid w:val="005E0A32"/>
    <w:rsid w:val="005F49BD"/>
    <w:rsid w:val="00600FC9"/>
    <w:rsid w:val="006250D7"/>
    <w:rsid w:val="00634CD9"/>
    <w:rsid w:val="0063595B"/>
    <w:rsid w:val="00635A36"/>
    <w:rsid w:val="00642660"/>
    <w:rsid w:val="0065205A"/>
    <w:rsid w:val="00656150"/>
    <w:rsid w:val="00656272"/>
    <w:rsid w:val="006654D0"/>
    <w:rsid w:val="00672DBD"/>
    <w:rsid w:val="00673B33"/>
    <w:rsid w:val="006A4C43"/>
    <w:rsid w:val="006B4DCD"/>
    <w:rsid w:val="006B63ED"/>
    <w:rsid w:val="006B701B"/>
    <w:rsid w:val="006C2D34"/>
    <w:rsid w:val="006C33AD"/>
    <w:rsid w:val="006C645C"/>
    <w:rsid w:val="006C6850"/>
    <w:rsid w:val="006D2571"/>
    <w:rsid w:val="006D5B03"/>
    <w:rsid w:val="006D66D8"/>
    <w:rsid w:val="006F528B"/>
    <w:rsid w:val="006F6979"/>
    <w:rsid w:val="00701D49"/>
    <w:rsid w:val="007055D2"/>
    <w:rsid w:val="00722EB3"/>
    <w:rsid w:val="00727B5B"/>
    <w:rsid w:val="007373AC"/>
    <w:rsid w:val="00737B18"/>
    <w:rsid w:val="00740882"/>
    <w:rsid w:val="00750C56"/>
    <w:rsid w:val="0075656D"/>
    <w:rsid w:val="007615CD"/>
    <w:rsid w:val="00770F6C"/>
    <w:rsid w:val="00774B59"/>
    <w:rsid w:val="007A2878"/>
    <w:rsid w:val="007A371B"/>
    <w:rsid w:val="007A401A"/>
    <w:rsid w:val="007A46F3"/>
    <w:rsid w:val="007A7939"/>
    <w:rsid w:val="007A7975"/>
    <w:rsid w:val="007B5A9C"/>
    <w:rsid w:val="007B75BC"/>
    <w:rsid w:val="007C6560"/>
    <w:rsid w:val="007D791A"/>
    <w:rsid w:val="007E3F31"/>
    <w:rsid w:val="007F22F9"/>
    <w:rsid w:val="007F3332"/>
    <w:rsid w:val="007F5466"/>
    <w:rsid w:val="007F5DC9"/>
    <w:rsid w:val="007F6C2F"/>
    <w:rsid w:val="0080684B"/>
    <w:rsid w:val="00812E77"/>
    <w:rsid w:val="00832095"/>
    <w:rsid w:val="008358DA"/>
    <w:rsid w:val="0083677D"/>
    <w:rsid w:val="0084386D"/>
    <w:rsid w:val="00844852"/>
    <w:rsid w:val="00844881"/>
    <w:rsid w:val="00845514"/>
    <w:rsid w:val="008602DA"/>
    <w:rsid w:val="00864147"/>
    <w:rsid w:val="0087031E"/>
    <w:rsid w:val="00885185"/>
    <w:rsid w:val="00887373"/>
    <w:rsid w:val="008B59D0"/>
    <w:rsid w:val="008D5150"/>
    <w:rsid w:val="008F224F"/>
    <w:rsid w:val="008F40E7"/>
    <w:rsid w:val="009000A7"/>
    <w:rsid w:val="009017FB"/>
    <w:rsid w:val="009022FB"/>
    <w:rsid w:val="00912D90"/>
    <w:rsid w:val="00915FE3"/>
    <w:rsid w:val="00920016"/>
    <w:rsid w:val="009231EA"/>
    <w:rsid w:val="00926BC5"/>
    <w:rsid w:val="0094021D"/>
    <w:rsid w:val="00951810"/>
    <w:rsid w:val="00953011"/>
    <w:rsid w:val="00966599"/>
    <w:rsid w:val="0097207E"/>
    <w:rsid w:val="009726DD"/>
    <w:rsid w:val="00975468"/>
    <w:rsid w:val="009820F9"/>
    <w:rsid w:val="00984877"/>
    <w:rsid w:val="009C6E50"/>
    <w:rsid w:val="009D024B"/>
    <w:rsid w:val="009D158C"/>
    <w:rsid w:val="009E6178"/>
    <w:rsid w:val="009F1CB3"/>
    <w:rsid w:val="009F4D92"/>
    <w:rsid w:val="00A00C44"/>
    <w:rsid w:val="00A06DFB"/>
    <w:rsid w:val="00A104EB"/>
    <w:rsid w:val="00A243FF"/>
    <w:rsid w:val="00A34C6B"/>
    <w:rsid w:val="00A44047"/>
    <w:rsid w:val="00A4671A"/>
    <w:rsid w:val="00A54956"/>
    <w:rsid w:val="00A57413"/>
    <w:rsid w:val="00A612E6"/>
    <w:rsid w:val="00A776AA"/>
    <w:rsid w:val="00A858BF"/>
    <w:rsid w:val="00A908C8"/>
    <w:rsid w:val="00A934E3"/>
    <w:rsid w:val="00A94B77"/>
    <w:rsid w:val="00AA0233"/>
    <w:rsid w:val="00AA0FD3"/>
    <w:rsid w:val="00AA1D33"/>
    <w:rsid w:val="00AB4EDB"/>
    <w:rsid w:val="00AB63E9"/>
    <w:rsid w:val="00AB6DC8"/>
    <w:rsid w:val="00AB7B17"/>
    <w:rsid w:val="00AD532F"/>
    <w:rsid w:val="00AE46D2"/>
    <w:rsid w:val="00AE58D8"/>
    <w:rsid w:val="00AE61B2"/>
    <w:rsid w:val="00AF7A5D"/>
    <w:rsid w:val="00B0633E"/>
    <w:rsid w:val="00B0703C"/>
    <w:rsid w:val="00B079B7"/>
    <w:rsid w:val="00B25A98"/>
    <w:rsid w:val="00B3689D"/>
    <w:rsid w:val="00B45E62"/>
    <w:rsid w:val="00B704D3"/>
    <w:rsid w:val="00B75202"/>
    <w:rsid w:val="00B84E03"/>
    <w:rsid w:val="00B85493"/>
    <w:rsid w:val="00B97FE2"/>
    <w:rsid w:val="00BA0CAB"/>
    <w:rsid w:val="00BA2D14"/>
    <w:rsid w:val="00BE21DC"/>
    <w:rsid w:val="00BE4D56"/>
    <w:rsid w:val="00BF13BD"/>
    <w:rsid w:val="00BF2898"/>
    <w:rsid w:val="00BF5544"/>
    <w:rsid w:val="00C135C4"/>
    <w:rsid w:val="00C15644"/>
    <w:rsid w:val="00C167E7"/>
    <w:rsid w:val="00C20459"/>
    <w:rsid w:val="00C3546F"/>
    <w:rsid w:val="00C35E0E"/>
    <w:rsid w:val="00C374C8"/>
    <w:rsid w:val="00C41346"/>
    <w:rsid w:val="00C5133C"/>
    <w:rsid w:val="00C566DA"/>
    <w:rsid w:val="00C7483A"/>
    <w:rsid w:val="00C97886"/>
    <w:rsid w:val="00CA30BF"/>
    <w:rsid w:val="00CD6F04"/>
    <w:rsid w:val="00CE0E72"/>
    <w:rsid w:val="00CE5906"/>
    <w:rsid w:val="00CF0B87"/>
    <w:rsid w:val="00D2044B"/>
    <w:rsid w:val="00D24B88"/>
    <w:rsid w:val="00D24F57"/>
    <w:rsid w:val="00D31C9F"/>
    <w:rsid w:val="00D34E29"/>
    <w:rsid w:val="00D44804"/>
    <w:rsid w:val="00D56C46"/>
    <w:rsid w:val="00D70069"/>
    <w:rsid w:val="00D717D3"/>
    <w:rsid w:val="00D74CCD"/>
    <w:rsid w:val="00DA1000"/>
    <w:rsid w:val="00DB2CB1"/>
    <w:rsid w:val="00DB6643"/>
    <w:rsid w:val="00DD0E16"/>
    <w:rsid w:val="00DE5E3C"/>
    <w:rsid w:val="00E0085D"/>
    <w:rsid w:val="00E0364C"/>
    <w:rsid w:val="00E06643"/>
    <w:rsid w:val="00E23617"/>
    <w:rsid w:val="00E24E8A"/>
    <w:rsid w:val="00E31D38"/>
    <w:rsid w:val="00E32AE3"/>
    <w:rsid w:val="00E422B4"/>
    <w:rsid w:val="00E57097"/>
    <w:rsid w:val="00E62044"/>
    <w:rsid w:val="00E7406C"/>
    <w:rsid w:val="00EB7EC4"/>
    <w:rsid w:val="00EC30B4"/>
    <w:rsid w:val="00EC4952"/>
    <w:rsid w:val="00ED03D5"/>
    <w:rsid w:val="00ED1BF9"/>
    <w:rsid w:val="00ED2991"/>
    <w:rsid w:val="00ED4173"/>
    <w:rsid w:val="00EF2F8B"/>
    <w:rsid w:val="00F07DE3"/>
    <w:rsid w:val="00F26359"/>
    <w:rsid w:val="00F33FB6"/>
    <w:rsid w:val="00F47127"/>
    <w:rsid w:val="00F5479A"/>
    <w:rsid w:val="00F6513F"/>
    <w:rsid w:val="00F814D0"/>
    <w:rsid w:val="00F95873"/>
    <w:rsid w:val="00FA00EE"/>
    <w:rsid w:val="00FA0990"/>
    <w:rsid w:val="00FA6E82"/>
    <w:rsid w:val="00FB1B59"/>
    <w:rsid w:val="00FB50C0"/>
    <w:rsid w:val="00FB5181"/>
    <w:rsid w:val="00FB567F"/>
    <w:rsid w:val="00FB74E6"/>
    <w:rsid w:val="00FD59BE"/>
    <w:rsid w:val="00FD600E"/>
    <w:rsid w:val="00FF6FE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0BD49"/>
  <w15:chartTrackingRefBased/>
  <w15:docId w15:val="{568F0B33-D741-47D3-87FB-B1598402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1E98"/>
    <w:pPr>
      <w:spacing w:after="0" w:line="480" w:lineRule="auto"/>
      <w:ind w:firstLine="720"/>
      <w:jc w:val="both"/>
    </w:pPr>
    <w:rPr>
      <w:rFonts w:ascii="Times New Roman" w:hAnsi="Times New Roman"/>
      <w:sz w:val="24"/>
    </w:rPr>
  </w:style>
  <w:style w:type="paragraph" w:styleId="Heading1">
    <w:name w:val="heading 1"/>
    <w:aliases w:val="BAB,bab"/>
    <w:basedOn w:val="Normal"/>
    <w:next w:val="Normal"/>
    <w:link w:val="Heading1Char"/>
    <w:uiPriority w:val="9"/>
    <w:qFormat/>
    <w:rsid w:val="0015067E"/>
    <w:pPr>
      <w:keepNext/>
      <w:keepLines/>
      <w:spacing w:after="240"/>
      <w:ind w:firstLine="0"/>
      <w:jc w:val="center"/>
      <w:outlineLvl w:val="0"/>
    </w:pPr>
    <w:rPr>
      <w:rFonts w:eastAsiaTheme="majorEastAsia" w:cstheme="majorBidi"/>
      <w:b/>
      <w:sz w:val="28"/>
      <w:szCs w:val="32"/>
      <w:lang w:val="en-GB"/>
    </w:rPr>
  </w:style>
  <w:style w:type="paragraph" w:styleId="Heading2">
    <w:name w:val="heading 2"/>
    <w:aliases w:val="SUB BAB,subbab"/>
    <w:basedOn w:val="Normal"/>
    <w:next w:val="Normal"/>
    <w:link w:val="Heading2Char"/>
    <w:uiPriority w:val="9"/>
    <w:qFormat/>
    <w:rsid w:val="008F224F"/>
    <w:pPr>
      <w:keepNext/>
      <w:keepLines/>
      <w:ind w:firstLine="0"/>
      <w:outlineLvl w:val="1"/>
    </w:pPr>
    <w:rPr>
      <w:rFonts w:eastAsiaTheme="majorEastAsia" w:cstheme="majorBidi"/>
      <w:b/>
      <w:szCs w:val="26"/>
      <w:lang w:val="id-ID"/>
    </w:rPr>
  </w:style>
  <w:style w:type="paragraph" w:styleId="Heading3">
    <w:name w:val="heading 3"/>
    <w:aliases w:val="SUB SUB BAB"/>
    <w:basedOn w:val="Normal"/>
    <w:next w:val="Normal"/>
    <w:link w:val="Heading3Char"/>
    <w:uiPriority w:val="9"/>
    <w:qFormat/>
    <w:rsid w:val="008F224F"/>
    <w:pPr>
      <w:keepNext/>
      <w:keepLines/>
      <w:ind w:left="595" w:hanging="595"/>
      <w:outlineLvl w:val="2"/>
    </w:pPr>
    <w:rPr>
      <w:rFonts w:eastAsiaTheme="majorEastAsia" w:cstheme="majorBidi"/>
      <w:b/>
      <w:szCs w:val="24"/>
      <w:lang w:val="id-ID"/>
    </w:rPr>
  </w:style>
  <w:style w:type="paragraph" w:styleId="Heading4">
    <w:name w:val="heading 4"/>
    <w:aliases w:val="SUB SUB SUB BAB"/>
    <w:basedOn w:val="Normal"/>
    <w:next w:val="Normal"/>
    <w:link w:val="Heading4Char"/>
    <w:uiPriority w:val="9"/>
    <w:qFormat/>
    <w:rsid w:val="000F46A4"/>
    <w:pPr>
      <w:keepNext/>
      <w:keepLines/>
      <w:spacing w:before="240"/>
      <w:ind w:firstLine="0"/>
      <w:outlineLvl w:val="3"/>
    </w:pPr>
    <w:rPr>
      <w:rFonts w:eastAsiaTheme="majorEastAsia" w:cstheme="majorBidi"/>
      <w:iCs/>
    </w:rPr>
  </w:style>
  <w:style w:type="paragraph" w:styleId="Heading5">
    <w:name w:val="heading 5"/>
    <w:aliases w:val="Daftar Tabel"/>
    <w:basedOn w:val="Normal"/>
    <w:next w:val="Normal"/>
    <w:link w:val="Heading5Char"/>
    <w:uiPriority w:val="9"/>
    <w:qFormat/>
    <w:rsid w:val="009726DD"/>
    <w:pPr>
      <w:keepNext/>
      <w:keepLines/>
      <w:ind w:firstLine="0"/>
      <w:jc w:val="center"/>
      <w:outlineLvl w:val="4"/>
    </w:pPr>
    <w:rPr>
      <w:rFonts w:eastAsiaTheme="majorEastAsia" w:cstheme="majorBidi"/>
    </w:rPr>
  </w:style>
  <w:style w:type="paragraph" w:styleId="Heading6">
    <w:name w:val="heading 6"/>
    <w:aliases w:val="Daftar Gambar"/>
    <w:basedOn w:val="Normal"/>
    <w:next w:val="Normal"/>
    <w:link w:val="Heading6Char"/>
    <w:uiPriority w:val="9"/>
    <w:qFormat/>
    <w:rsid w:val="009726DD"/>
    <w:pPr>
      <w:keepNext/>
      <w:keepLines/>
      <w:ind w:firstLine="0"/>
      <w:jc w:val="center"/>
      <w:outlineLvl w:val="5"/>
    </w:pPr>
    <w:rPr>
      <w:rFonts w:eastAsiaTheme="majorEastAsia" w:cstheme="majorBidi"/>
    </w:rPr>
  </w:style>
  <w:style w:type="paragraph" w:styleId="Heading7">
    <w:name w:val="heading 7"/>
    <w:aliases w:val="Lampiran"/>
    <w:basedOn w:val="Normal"/>
    <w:next w:val="Normal"/>
    <w:link w:val="Heading7Char"/>
    <w:uiPriority w:val="9"/>
    <w:qFormat/>
    <w:rsid w:val="00915FE3"/>
    <w:pPr>
      <w:keepNext/>
      <w:keepLines/>
      <w:ind w:firstLine="0"/>
      <w:outlineLvl w:val="6"/>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Char,bab Char"/>
    <w:basedOn w:val="DefaultParagraphFont"/>
    <w:link w:val="Heading1"/>
    <w:uiPriority w:val="9"/>
    <w:rsid w:val="0015067E"/>
    <w:rPr>
      <w:rFonts w:ascii="Times New Roman" w:eastAsiaTheme="majorEastAsia" w:hAnsi="Times New Roman" w:cstheme="majorBidi"/>
      <w:b/>
      <w:sz w:val="28"/>
      <w:szCs w:val="32"/>
      <w:lang w:val="en-GB"/>
    </w:rPr>
  </w:style>
  <w:style w:type="paragraph" w:styleId="Subtitle">
    <w:name w:val="Subtitle"/>
    <w:aliases w:val="Bab"/>
    <w:basedOn w:val="Normal"/>
    <w:next w:val="Normal"/>
    <w:link w:val="SubtitleChar"/>
    <w:uiPriority w:val="11"/>
    <w:qFormat/>
    <w:rsid w:val="00361DC5"/>
    <w:pPr>
      <w:numPr>
        <w:ilvl w:val="1"/>
      </w:numPr>
      <w:ind w:firstLine="720"/>
      <w:jc w:val="center"/>
    </w:pPr>
    <w:rPr>
      <w:rFonts w:eastAsiaTheme="minorEastAsia"/>
      <w:b/>
      <w:spacing w:val="15"/>
      <w:lang w:val="id-ID"/>
    </w:rPr>
  </w:style>
  <w:style w:type="character" w:customStyle="1" w:styleId="SubtitleChar">
    <w:name w:val="Subtitle Char"/>
    <w:aliases w:val="Bab Char"/>
    <w:basedOn w:val="DefaultParagraphFont"/>
    <w:link w:val="Subtitle"/>
    <w:uiPriority w:val="11"/>
    <w:rsid w:val="00361DC5"/>
    <w:rPr>
      <w:rFonts w:ascii="Times New Roman" w:eastAsiaTheme="minorEastAsia" w:hAnsi="Times New Roman"/>
      <w:b/>
      <w:spacing w:val="15"/>
      <w:sz w:val="24"/>
      <w:lang w:val="id-ID"/>
    </w:rPr>
  </w:style>
  <w:style w:type="character" w:customStyle="1" w:styleId="Heading2Char">
    <w:name w:val="Heading 2 Char"/>
    <w:aliases w:val="SUB BAB Char,subbab Char"/>
    <w:basedOn w:val="DefaultParagraphFont"/>
    <w:link w:val="Heading2"/>
    <w:uiPriority w:val="9"/>
    <w:rsid w:val="008F224F"/>
    <w:rPr>
      <w:rFonts w:ascii="Times New Roman" w:eastAsiaTheme="majorEastAsia" w:hAnsi="Times New Roman" w:cstheme="majorBidi"/>
      <w:b/>
      <w:sz w:val="24"/>
      <w:szCs w:val="26"/>
      <w:lang w:val="id-ID"/>
    </w:rPr>
  </w:style>
  <w:style w:type="character" w:customStyle="1" w:styleId="Heading3Char">
    <w:name w:val="Heading 3 Char"/>
    <w:aliases w:val="SUB SUB BAB Char"/>
    <w:basedOn w:val="DefaultParagraphFont"/>
    <w:link w:val="Heading3"/>
    <w:uiPriority w:val="9"/>
    <w:rsid w:val="008F224F"/>
    <w:rPr>
      <w:rFonts w:ascii="Times New Roman" w:eastAsiaTheme="majorEastAsia" w:hAnsi="Times New Roman" w:cstheme="majorBidi"/>
      <w:b/>
      <w:sz w:val="24"/>
      <w:szCs w:val="24"/>
      <w:lang w:val="id-ID"/>
    </w:rPr>
  </w:style>
  <w:style w:type="paragraph" w:styleId="TOC1">
    <w:name w:val="toc 1"/>
    <w:basedOn w:val="Normal"/>
    <w:next w:val="Normal"/>
    <w:autoRedefine/>
    <w:uiPriority w:val="39"/>
    <w:unhideWhenUsed/>
    <w:rsid w:val="00B85493"/>
    <w:pPr>
      <w:tabs>
        <w:tab w:val="right" w:leader="dot" w:pos="7927"/>
      </w:tabs>
      <w:spacing w:line="240" w:lineRule="auto"/>
      <w:ind w:left="556" w:hanging="556"/>
    </w:pPr>
    <w:rPr>
      <w:lang w:val="id-ID"/>
    </w:rPr>
  </w:style>
  <w:style w:type="paragraph" w:styleId="ListParagraph">
    <w:name w:val="List Paragraph"/>
    <w:basedOn w:val="Normal"/>
    <w:link w:val="ListParagraphChar"/>
    <w:uiPriority w:val="34"/>
    <w:qFormat/>
    <w:rsid w:val="00A776AA"/>
    <w:pPr>
      <w:ind w:left="720"/>
      <w:contextualSpacing/>
    </w:pPr>
  </w:style>
  <w:style w:type="character" w:customStyle="1" w:styleId="Heading4Char">
    <w:name w:val="Heading 4 Char"/>
    <w:aliases w:val="SUB SUB SUB BAB Char"/>
    <w:basedOn w:val="DefaultParagraphFont"/>
    <w:link w:val="Heading4"/>
    <w:uiPriority w:val="9"/>
    <w:rsid w:val="000F46A4"/>
    <w:rPr>
      <w:rFonts w:ascii="Times New Roman" w:eastAsiaTheme="majorEastAsia" w:hAnsi="Times New Roman" w:cstheme="majorBidi"/>
      <w:iCs/>
      <w:sz w:val="24"/>
    </w:rPr>
  </w:style>
  <w:style w:type="character" w:customStyle="1" w:styleId="ListParagraphChar">
    <w:name w:val="List Paragraph Char"/>
    <w:link w:val="ListParagraph"/>
    <w:uiPriority w:val="34"/>
    <w:qFormat/>
    <w:rsid w:val="00FF6FE6"/>
    <w:rPr>
      <w:rFonts w:ascii="Times New Roman" w:hAnsi="Times New Roman"/>
      <w:sz w:val="24"/>
    </w:rPr>
  </w:style>
  <w:style w:type="paragraph" w:customStyle="1" w:styleId="SumberData">
    <w:name w:val="Sumber Data"/>
    <w:basedOn w:val="Normal"/>
    <w:link w:val="SumberDataChar"/>
    <w:qFormat/>
    <w:rsid w:val="00FF6FE6"/>
    <w:pPr>
      <w:spacing w:before="100" w:line="360" w:lineRule="auto"/>
      <w:ind w:firstLine="0"/>
      <w:jc w:val="center"/>
    </w:pPr>
    <w:rPr>
      <w:rFonts w:cs="Times New Roman"/>
      <w:color w:val="000000" w:themeColor="text1"/>
      <w:sz w:val="20"/>
      <w:szCs w:val="20"/>
      <w:lang w:val="en-US"/>
    </w:rPr>
  </w:style>
  <w:style w:type="character" w:customStyle="1" w:styleId="SumberDataChar">
    <w:name w:val="Sumber Data Char"/>
    <w:basedOn w:val="DefaultParagraphFont"/>
    <w:link w:val="SumberData"/>
    <w:rsid w:val="00FF6FE6"/>
    <w:rPr>
      <w:rFonts w:ascii="Times New Roman" w:hAnsi="Times New Roman" w:cs="Times New Roman"/>
      <w:color w:val="000000" w:themeColor="text1"/>
      <w:sz w:val="20"/>
      <w:szCs w:val="20"/>
      <w:lang w:val="en-US"/>
    </w:rPr>
  </w:style>
  <w:style w:type="character" w:customStyle="1" w:styleId="Heading5Char">
    <w:name w:val="Heading 5 Char"/>
    <w:aliases w:val="Daftar Tabel Char"/>
    <w:basedOn w:val="DefaultParagraphFont"/>
    <w:link w:val="Heading5"/>
    <w:uiPriority w:val="9"/>
    <w:rsid w:val="009726DD"/>
    <w:rPr>
      <w:rFonts w:ascii="Times New Roman" w:eastAsiaTheme="majorEastAsia" w:hAnsi="Times New Roman" w:cstheme="majorBidi"/>
      <w:sz w:val="24"/>
    </w:rPr>
  </w:style>
  <w:style w:type="character" w:customStyle="1" w:styleId="Heading6Char">
    <w:name w:val="Heading 6 Char"/>
    <w:aliases w:val="Daftar Gambar Char"/>
    <w:basedOn w:val="DefaultParagraphFont"/>
    <w:link w:val="Heading6"/>
    <w:uiPriority w:val="9"/>
    <w:rsid w:val="009726DD"/>
    <w:rPr>
      <w:rFonts w:ascii="Times New Roman" w:eastAsiaTheme="majorEastAsia" w:hAnsi="Times New Roman" w:cstheme="majorBidi"/>
      <w:sz w:val="24"/>
    </w:rPr>
  </w:style>
  <w:style w:type="character" w:customStyle="1" w:styleId="Heading7Char">
    <w:name w:val="Heading 7 Char"/>
    <w:aliases w:val="Lampiran Char"/>
    <w:basedOn w:val="DefaultParagraphFont"/>
    <w:link w:val="Heading7"/>
    <w:uiPriority w:val="9"/>
    <w:rsid w:val="00915FE3"/>
    <w:rPr>
      <w:rFonts w:ascii="Times New Roman" w:eastAsiaTheme="majorEastAsia" w:hAnsi="Times New Roman" w:cstheme="majorBidi"/>
      <w:iCs/>
      <w:sz w:val="24"/>
    </w:rPr>
  </w:style>
  <w:style w:type="paragraph" w:styleId="NormalWeb">
    <w:name w:val="Normal (Web)"/>
    <w:basedOn w:val="Normal"/>
    <w:uiPriority w:val="99"/>
    <w:unhideWhenUsed/>
    <w:rsid w:val="000F46A4"/>
    <w:pPr>
      <w:spacing w:before="100" w:beforeAutospacing="1" w:after="100" w:afterAutospacing="1" w:line="240" w:lineRule="auto"/>
    </w:pPr>
    <w:rPr>
      <w:rFonts w:eastAsia="Times New Roman" w:cs="Times New Roman"/>
      <w:szCs w:val="24"/>
      <w:lang w:val="id-ID"/>
    </w:rPr>
  </w:style>
  <w:style w:type="table" w:styleId="TableGrid">
    <w:name w:val="Table Grid"/>
    <w:basedOn w:val="TableNormal"/>
    <w:uiPriority w:val="39"/>
    <w:rsid w:val="00AD532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Bab4">
    <w:name w:val="Sub Bab 4"/>
    <w:basedOn w:val="Normal"/>
    <w:link w:val="SubBab4Char"/>
    <w:qFormat/>
    <w:rsid w:val="00722EB3"/>
    <w:pPr>
      <w:numPr>
        <w:numId w:val="1"/>
      </w:numPr>
      <w:ind w:left="357" w:hanging="357"/>
    </w:pPr>
  </w:style>
  <w:style w:type="character" w:customStyle="1" w:styleId="SubBab4Char">
    <w:name w:val="Sub Bab 4 Char"/>
    <w:basedOn w:val="DefaultParagraphFont"/>
    <w:link w:val="SubBab4"/>
    <w:rsid w:val="00722EB3"/>
    <w:rPr>
      <w:rFonts w:ascii="Times New Roman" w:hAnsi="Times New Roman"/>
      <w:sz w:val="24"/>
    </w:rPr>
  </w:style>
  <w:style w:type="paragraph" w:styleId="Header">
    <w:name w:val="header"/>
    <w:aliases w:val="Char Char"/>
    <w:basedOn w:val="Normal"/>
    <w:link w:val="HeaderChar"/>
    <w:uiPriority w:val="99"/>
    <w:unhideWhenUsed/>
    <w:rsid w:val="00656150"/>
    <w:pPr>
      <w:tabs>
        <w:tab w:val="center" w:pos="4513"/>
        <w:tab w:val="right" w:pos="9026"/>
      </w:tabs>
      <w:spacing w:line="240" w:lineRule="auto"/>
    </w:pPr>
  </w:style>
  <w:style w:type="character" w:customStyle="1" w:styleId="HeaderChar">
    <w:name w:val="Header Char"/>
    <w:aliases w:val="Char Char Char"/>
    <w:basedOn w:val="DefaultParagraphFont"/>
    <w:link w:val="Header"/>
    <w:uiPriority w:val="99"/>
    <w:rsid w:val="00656150"/>
    <w:rPr>
      <w:rFonts w:ascii="Times New Roman" w:hAnsi="Times New Roman"/>
      <w:sz w:val="24"/>
    </w:rPr>
  </w:style>
  <w:style w:type="paragraph" w:styleId="Footer">
    <w:name w:val="footer"/>
    <w:basedOn w:val="Normal"/>
    <w:link w:val="FooterChar"/>
    <w:uiPriority w:val="99"/>
    <w:unhideWhenUsed/>
    <w:rsid w:val="00656150"/>
    <w:pPr>
      <w:tabs>
        <w:tab w:val="center" w:pos="4513"/>
        <w:tab w:val="right" w:pos="9026"/>
      </w:tabs>
      <w:spacing w:line="240" w:lineRule="auto"/>
    </w:pPr>
  </w:style>
  <w:style w:type="character" w:customStyle="1" w:styleId="FooterChar">
    <w:name w:val="Footer Char"/>
    <w:basedOn w:val="DefaultParagraphFont"/>
    <w:link w:val="Footer"/>
    <w:uiPriority w:val="99"/>
    <w:rsid w:val="00656150"/>
    <w:rPr>
      <w:rFonts w:ascii="Times New Roman" w:hAnsi="Times New Roman"/>
      <w:sz w:val="24"/>
    </w:rPr>
  </w:style>
  <w:style w:type="paragraph" w:styleId="TOC2">
    <w:name w:val="toc 2"/>
    <w:basedOn w:val="Normal"/>
    <w:next w:val="Normal"/>
    <w:autoRedefine/>
    <w:uiPriority w:val="39"/>
    <w:unhideWhenUsed/>
    <w:rsid w:val="00235A2B"/>
    <w:pPr>
      <w:tabs>
        <w:tab w:val="right" w:leader="dot" w:pos="7927"/>
      </w:tabs>
      <w:spacing w:line="240" w:lineRule="auto"/>
      <w:ind w:firstLine="0"/>
    </w:pPr>
  </w:style>
  <w:style w:type="paragraph" w:styleId="TOC3">
    <w:name w:val="toc 3"/>
    <w:basedOn w:val="Normal"/>
    <w:next w:val="Normal"/>
    <w:autoRedefine/>
    <w:uiPriority w:val="39"/>
    <w:unhideWhenUsed/>
    <w:rsid w:val="00B85493"/>
    <w:pPr>
      <w:tabs>
        <w:tab w:val="right" w:leader="dot" w:pos="7927"/>
      </w:tabs>
      <w:spacing w:line="240" w:lineRule="auto"/>
      <w:ind w:left="567" w:firstLine="0"/>
    </w:pPr>
  </w:style>
  <w:style w:type="character" w:styleId="Hyperlink">
    <w:name w:val="Hyperlink"/>
    <w:basedOn w:val="DefaultParagraphFont"/>
    <w:uiPriority w:val="99"/>
    <w:unhideWhenUsed/>
    <w:rsid w:val="00235A2B"/>
    <w:rPr>
      <w:color w:val="0563C1" w:themeColor="hyperlink"/>
      <w:u w:val="single"/>
    </w:rPr>
  </w:style>
  <w:style w:type="paragraph" w:styleId="Bibliography">
    <w:name w:val="Bibliography"/>
    <w:basedOn w:val="Normal"/>
    <w:next w:val="Normal"/>
    <w:uiPriority w:val="37"/>
    <w:unhideWhenUsed/>
    <w:rsid w:val="002C0EA0"/>
  </w:style>
  <w:style w:type="character" w:customStyle="1" w:styleId="UnresolvedMention1">
    <w:name w:val="Unresolved Mention1"/>
    <w:basedOn w:val="DefaultParagraphFont"/>
    <w:uiPriority w:val="99"/>
    <w:semiHidden/>
    <w:unhideWhenUsed/>
    <w:rsid w:val="00442890"/>
    <w:rPr>
      <w:color w:val="605E5C"/>
      <w:shd w:val="clear" w:color="auto" w:fill="E1DFDD"/>
    </w:rPr>
  </w:style>
  <w:style w:type="table" w:customStyle="1" w:styleId="TableGrid1">
    <w:name w:val="Table Grid1"/>
    <w:basedOn w:val="TableNormal"/>
    <w:next w:val="TableGrid"/>
    <w:uiPriority w:val="39"/>
    <w:rsid w:val="00141F5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41F5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41F5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791A"/>
    <w:rPr>
      <w:sz w:val="16"/>
      <w:szCs w:val="16"/>
    </w:rPr>
  </w:style>
  <w:style w:type="paragraph" w:styleId="CommentText">
    <w:name w:val="annotation text"/>
    <w:basedOn w:val="Normal"/>
    <w:link w:val="CommentTextChar"/>
    <w:uiPriority w:val="99"/>
    <w:semiHidden/>
    <w:unhideWhenUsed/>
    <w:rsid w:val="007D791A"/>
    <w:pPr>
      <w:spacing w:line="240" w:lineRule="auto"/>
    </w:pPr>
    <w:rPr>
      <w:sz w:val="20"/>
      <w:szCs w:val="20"/>
    </w:rPr>
  </w:style>
  <w:style w:type="character" w:customStyle="1" w:styleId="CommentTextChar">
    <w:name w:val="Comment Text Char"/>
    <w:basedOn w:val="DefaultParagraphFont"/>
    <w:link w:val="CommentText"/>
    <w:uiPriority w:val="99"/>
    <w:semiHidden/>
    <w:rsid w:val="007D791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D791A"/>
    <w:rPr>
      <w:b/>
      <w:bCs/>
    </w:rPr>
  </w:style>
  <w:style w:type="character" w:customStyle="1" w:styleId="CommentSubjectChar">
    <w:name w:val="Comment Subject Char"/>
    <w:basedOn w:val="CommentTextChar"/>
    <w:link w:val="CommentSubject"/>
    <w:uiPriority w:val="99"/>
    <w:semiHidden/>
    <w:rsid w:val="007D791A"/>
    <w:rPr>
      <w:rFonts w:ascii="Times New Roman" w:hAnsi="Times New Roman"/>
      <w:b/>
      <w:bCs/>
      <w:sz w:val="20"/>
      <w:szCs w:val="20"/>
    </w:rPr>
  </w:style>
  <w:style w:type="character" w:styleId="FollowedHyperlink">
    <w:name w:val="FollowedHyperlink"/>
    <w:basedOn w:val="DefaultParagraphFont"/>
    <w:uiPriority w:val="99"/>
    <w:semiHidden/>
    <w:unhideWhenUsed/>
    <w:rsid w:val="00C374C8"/>
    <w:rPr>
      <w:color w:val="954F72" w:themeColor="followedHyperlink"/>
      <w:u w:val="single"/>
    </w:rPr>
  </w:style>
  <w:style w:type="character" w:customStyle="1" w:styleId="Heading1Char1">
    <w:name w:val="Heading 1 Char1"/>
    <w:aliases w:val="bab Char1"/>
    <w:basedOn w:val="DefaultParagraphFont"/>
    <w:uiPriority w:val="9"/>
    <w:rsid w:val="00C374C8"/>
    <w:rPr>
      <w:rFonts w:asciiTheme="majorHAnsi" w:eastAsiaTheme="majorEastAsia" w:hAnsiTheme="majorHAnsi" w:cstheme="majorBidi"/>
      <w:color w:val="2F5496" w:themeColor="accent1" w:themeShade="BF"/>
      <w:sz w:val="32"/>
      <w:szCs w:val="32"/>
      <w:lang w:val="id-ID"/>
    </w:rPr>
  </w:style>
  <w:style w:type="character" w:customStyle="1" w:styleId="Heading2Char1">
    <w:name w:val="Heading 2 Char1"/>
    <w:aliases w:val="subbab Char1"/>
    <w:basedOn w:val="DefaultParagraphFont"/>
    <w:uiPriority w:val="9"/>
    <w:semiHidden/>
    <w:rsid w:val="00C374C8"/>
    <w:rPr>
      <w:rFonts w:asciiTheme="majorHAnsi" w:eastAsiaTheme="majorEastAsia" w:hAnsiTheme="majorHAnsi" w:cstheme="majorBidi"/>
      <w:color w:val="2F5496" w:themeColor="accent1" w:themeShade="BF"/>
      <w:sz w:val="26"/>
      <w:szCs w:val="26"/>
      <w:lang w:val="id-ID"/>
    </w:rPr>
  </w:style>
  <w:style w:type="paragraph" w:customStyle="1" w:styleId="msonormal0">
    <w:name w:val="msonormal"/>
    <w:basedOn w:val="Normal"/>
    <w:rsid w:val="00C374C8"/>
    <w:pPr>
      <w:spacing w:before="100" w:beforeAutospacing="1" w:after="100" w:afterAutospacing="1" w:line="240" w:lineRule="auto"/>
      <w:ind w:firstLine="0"/>
      <w:jc w:val="left"/>
    </w:pPr>
    <w:rPr>
      <w:rFonts w:eastAsia="Times New Roman" w:cs="Times New Roman"/>
      <w:szCs w:val="24"/>
      <w:lang w:eastAsia="en-ID"/>
    </w:rPr>
  </w:style>
  <w:style w:type="paragraph" w:styleId="BalloonText">
    <w:name w:val="Balloon Text"/>
    <w:basedOn w:val="Normal"/>
    <w:link w:val="BalloonTextChar"/>
    <w:uiPriority w:val="99"/>
    <w:semiHidden/>
    <w:unhideWhenUsed/>
    <w:rsid w:val="00C374C8"/>
    <w:pPr>
      <w:spacing w:line="240" w:lineRule="auto"/>
      <w:ind w:firstLine="425"/>
    </w:pPr>
    <w:rPr>
      <w:rFonts w:ascii="Segoe UI" w:hAnsi="Segoe UI" w:cs="Segoe UI"/>
      <w:sz w:val="18"/>
      <w:szCs w:val="18"/>
      <w:lang w:val="id-ID"/>
    </w:rPr>
  </w:style>
  <w:style w:type="character" w:customStyle="1" w:styleId="BalloonTextChar">
    <w:name w:val="Balloon Text Char"/>
    <w:basedOn w:val="DefaultParagraphFont"/>
    <w:link w:val="BalloonText"/>
    <w:uiPriority w:val="99"/>
    <w:semiHidden/>
    <w:rsid w:val="00C374C8"/>
    <w:rPr>
      <w:rFonts w:ascii="Segoe UI" w:hAnsi="Segoe UI" w:cs="Segoe UI"/>
      <w:sz w:val="18"/>
      <w:szCs w:val="18"/>
      <w:lang w:val="id-ID"/>
    </w:rPr>
  </w:style>
  <w:style w:type="character" w:customStyle="1" w:styleId="JUDULBABChar">
    <w:name w:val="JUDUL BAB Char"/>
    <w:basedOn w:val="DefaultParagraphFont"/>
    <w:link w:val="JUDULBAB"/>
    <w:locked/>
    <w:rsid w:val="00C374C8"/>
    <w:rPr>
      <w:rFonts w:ascii="Times New Roman" w:hAnsi="Times New Roman" w:cs="Times New Roman"/>
      <w:b/>
      <w:caps/>
      <w:sz w:val="28"/>
      <w:lang w:val="id-ID"/>
    </w:rPr>
  </w:style>
  <w:style w:type="paragraph" w:customStyle="1" w:styleId="JUDULBAB">
    <w:name w:val="JUDUL BAB"/>
    <w:next w:val="Normal"/>
    <w:link w:val="JUDULBABChar"/>
    <w:autoRedefine/>
    <w:rsid w:val="00C374C8"/>
    <w:pPr>
      <w:spacing w:after="360" w:line="480" w:lineRule="auto"/>
      <w:ind w:firstLine="425"/>
      <w:jc w:val="center"/>
    </w:pPr>
    <w:rPr>
      <w:rFonts w:ascii="Times New Roman" w:hAnsi="Times New Roman" w:cs="Times New Roman"/>
      <w:b/>
      <w:caps/>
      <w:sz w:val="28"/>
      <w:lang w:val="id-ID"/>
    </w:rPr>
  </w:style>
  <w:style w:type="paragraph" w:customStyle="1" w:styleId="SubSubBab0">
    <w:name w:val="Sub Sub Bab"/>
    <w:next w:val="Normal"/>
    <w:rsid w:val="00C374C8"/>
    <w:pPr>
      <w:numPr>
        <w:ilvl w:val="2"/>
        <w:numId w:val="3"/>
      </w:numPr>
      <w:spacing w:after="0" w:line="360" w:lineRule="auto"/>
      <w:jc w:val="both"/>
    </w:pPr>
    <w:rPr>
      <w:rFonts w:ascii="Times New Roman" w:hAnsi="Times New Roman"/>
      <w:b/>
      <w:sz w:val="24"/>
      <w:lang w:val="id-ID"/>
    </w:rPr>
  </w:style>
  <w:style w:type="character" w:customStyle="1" w:styleId="SubBabChar">
    <w:name w:val="Sub Bab Char"/>
    <w:basedOn w:val="JUDULBABChar"/>
    <w:link w:val="SubBab"/>
    <w:locked/>
    <w:rsid w:val="00C374C8"/>
    <w:rPr>
      <w:rFonts w:ascii="Times New Roman" w:hAnsi="Times New Roman" w:cs="Times New Roman"/>
      <w:b/>
      <w:caps w:val="0"/>
      <w:sz w:val="24"/>
      <w:lang w:val="id-ID"/>
    </w:rPr>
  </w:style>
  <w:style w:type="paragraph" w:customStyle="1" w:styleId="SubBab">
    <w:name w:val="Sub Bab"/>
    <w:next w:val="Normal"/>
    <w:link w:val="SubBabChar"/>
    <w:rsid w:val="00C374C8"/>
    <w:pPr>
      <w:numPr>
        <w:ilvl w:val="1"/>
        <w:numId w:val="3"/>
      </w:numPr>
      <w:spacing w:after="0" w:line="360" w:lineRule="auto"/>
      <w:jc w:val="both"/>
    </w:pPr>
    <w:rPr>
      <w:rFonts w:ascii="Times New Roman" w:hAnsi="Times New Roman" w:cs="Times New Roman"/>
      <w:b/>
      <w:sz w:val="24"/>
      <w:lang w:val="id-ID"/>
    </w:rPr>
  </w:style>
  <w:style w:type="paragraph" w:customStyle="1" w:styleId="SubSubSubBab">
    <w:name w:val="Sub Sub Sub Bab"/>
    <w:next w:val="Normal"/>
    <w:rsid w:val="00C374C8"/>
    <w:pPr>
      <w:numPr>
        <w:ilvl w:val="3"/>
        <w:numId w:val="3"/>
      </w:numPr>
      <w:spacing w:after="0" w:line="360" w:lineRule="auto"/>
      <w:jc w:val="both"/>
    </w:pPr>
    <w:rPr>
      <w:rFonts w:ascii="Times New Roman" w:hAnsi="Times New Roman"/>
      <w:sz w:val="24"/>
      <w:lang w:val="id-ID"/>
    </w:rPr>
  </w:style>
  <w:style w:type="paragraph" w:customStyle="1" w:styleId="subsubbab">
    <w:name w:val="subsubbab"/>
    <w:basedOn w:val="Heading3"/>
    <w:rsid w:val="00C374C8"/>
    <w:pPr>
      <w:numPr>
        <w:numId w:val="4"/>
      </w:numPr>
      <w:spacing w:line="360" w:lineRule="auto"/>
      <w:ind w:left="426" w:hanging="426"/>
      <w:jc w:val="left"/>
    </w:pPr>
    <w:rPr>
      <w:noProof/>
    </w:rPr>
  </w:style>
  <w:style w:type="character" w:customStyle="1" w:styleId="PARAGRAPHChar">
    <w:name w:val="PARAGRAPH Char"/>
    <w:basedOn w:val="ListParagraphChar"/>
    <w:link w:val="PARAGRAPH"/>
    <w:locked/>
    <w:rsid w:val="00C374C8"/>
    <w:rPr>
      <w:rFonts w:ascii="Times New Roman" w:hAnsi="Times New Roman" w:cs="Times New Roman"/>
      <w:noProof/>
      <w:sz w:val="24"/>
      <w:szCs w:val="24"/>
      <w:lang w:val="id-ID"/>
    </w:rPr>
  </w:style>
  <w:style w:type="paragraph" w:customStyle="1" w:styleId="PARAGRAPH">
    <w:name w:val="PARAGRAPH"/>
    <w:basedOn w:val="ListParagraph"/>
    <w:link w:val="PARAGRAPHChar"/>
    <w:qFormat/>
    <w:rsid w:val="00C374C8"/>
    <w:pPr>
      <w:spacing w:line="360" w:lineRule="auto"/>
      <w:ind w:left="0" w:firstLine="425"/>
    </w:pPr>
    <w:rPr>
      <w:rFonts w:cs="Times New Roman"/>
      <w:noProof/>
      <w:szCs w:val="24"/>
      <w:lang w:val="id-ID"/>
    </w:rPr>
  </w:style>
  <w:style w:type="character" w:customStyle="1" w:styleId="ParChar">
    <w:name w:val="Par Char"/>
    <w:basedOn w:val="DefaultParagraphFont"/>
    <w:link w:val="Par"/>
    <w:locked/>
    <w:rsid w:val="00C374C8"/>
    <w:rPr>
      <w:rFonts w:ascii="Times New Roman" w:hAnsi="Times New Roman" w:cs="Times New Roman"/>
      <w:noProof/>
      <w:sz w:val="24"/>
      <w:szCs w:val="24"/>
    </w:rPr>
  </w:style>
  <w:style w:type="paragraph" w:customStyle="1" w:styleId="Par">
    <w:name w:val="Par"/>
    <w:basedOn w:val="Normal"/>
    <w:link w:val="ParChar"/>
    <w:qFormat/>
    <w:rsid w:val="00C374C8"/>
    <w:pPr>
      <w:widowControl w:val="0"/>
    </w:pPr>
    <w:rPr>
      <w:rFonts w:cs="Times New Roman"/>
      <w:noProof/>
      <w:szCs w:val="24"/>
    </w:rPr>
  </w:style>
  <w:style w:type="character" w:customStyle="1" w:styleId="fontstyle01">
    <w:name w:val="fontstyle01"/>
    <w:basedOn w:val="DefaultParagraphFont"/>
    <w:rsid w:val="00C374C8"/>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C374C8"/>
    <w:rPr>
      <w:rFonts w:ascii="Times New Roman" w:hAnsi="Times New Roman" w:cs="Times New Roman" w:hint="default"/>
      <w:b w:val="0"/>
      <w:bCs w:val="0"/>
      <w:i/>
      <w:iCs/>
      <w:color w:val="000000"/>
      <w:sz w:val="24"/>
      <w:szCs w:val="24"/>
    </w:rPr>
  </w:style>
  <w:style w:type="numbering" w:customStyle="1" w:styleId="KTTA1">
    <w:name w:val="KTTA1"/>
    <w:uiPriority w:val="99"/>
    <w:rsid w:val="00C374C8"/>
    <w:pPr>
      <w:numPr>
        <w:numId w:val="3"/>
      </w:numPr>
    </w:pPr>
  </w:style>
  <w:style w:type="paragraph" w:styleId="TOCHeading">
    <w:name w:val="TOC Heading"/>
    <w:basedOn w:val="Heading1"/>
    <w:next w:val="Normal"/>
    <w:uiPriority w:val="39"/>
    <w:unhideWhenUsed/>
    <w:qFormat/>
    <w:rsid w:val="00195991"/>
    <w:pPr>
      <w:spacing w:before="240" w:after="0" w:line="259" w:lineRule="auto"/>
      <w:jc w:val="left"/>
      <w:outlineLvl w:val="9"/>
    </w:pPr>
    <w:rPr>
      <w:rFonts w:asciiTheme="majorHAnsi" w:hAnsiTheme="majorHAnsi"/>
      <w:b w:val="0"/>
      <w:color w:val="2F5496" w:themeColor="accent1" w:themeShade="BF"/>
      <w:sz w:val="32"/>
      <w:lang w:val="en-US"/>
    </w:rPr>
  </w:style>
  <w:style w:type="table" w:customStyle="1" w:styleId="TableGrid4">
    <w:name w:val="Table Grid4"/>
    <w:basedOn w:val="TableNormal"/>
    <w:next w:val="TableGrid"/>
    <w:uiPriority w:val="39"/>
    <w:rsid w:val="009231EA"/>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4C00"/>
    <w:rPr>
      <w:color w:val="808080"/>
    </w:rPr>
  </w:style>
  <w:style w:type="paragraph" w:styleId="Revision">
    <w:name w:val="Revision"/>
    <w:hidden/>
    <w:uiPriority w:val="99"/>
    <w:semiHidden/>
    <w:rsid w:val="00AB7B17"/>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1F334D"/>
    <w:rPr>
      <w:color w:val="605E5C"/>
      <w:shd w:val="clear" w:color="auto" w:fill="E1DFDD"/>
    </w:rPr>
  </w:style>
  <w:style w:type="character" w:styleId="Emphasis">
    <w:name w:val="Emphasis"/>
    <w:basedOn w:val="DefaultParagraphFont"/>
    <w:uiPriority w:val="20"/>
    <w:qFormat/>
    <w:rsid w:val="008873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89682">
      <w:bodyDiv w:val="1"/>
      <w:marLeft w:val="0"/>
      <w:marRight w:val="0"/>
      <w:marTop w:val="0"/>
      <w:marBottom w:val="0"/>
      <w:divBdr>
        <w:top w:val="none" w:sz="0" w:space="0" w:color="auto"/>
        <w:left w:val="none" w:sz="0" w:space="0" w:color="auto"/>
        <w:bottom w:val="none" w:sz="0" w:space="0" w:color="auto"/>
        <w:right w:val="none" w:sz="0" w:space="0" w:color="auto"/>
      </w:divBdr>
    </w:div>
    <w:div w:id="56318670">
      <w:bodyDiv w:val="1"/>
      <w:marLeft w:val="0"/>
      <w:marRight w:val="0"/>
      <w:marTop w:val="0"/>
      <w:marBottom w:val="0"/>
      <w:divBdr>
        <w:top w:val="none" w:sz="0" w:space="0" w:color="auto"/>
        <w:left w:val="none" w:sz="0" w:space="0" w:color="auto"/>
        <w:bottom w:val="none" w:sz="0" w:space="0" w:color="auto"/>
        <w:right w:val="none" w:sz="0" w:space="0" w:color="auto"/>
      </w:divBdr>
    </w:div>
    <w:div w:id="63265976">
      <w:bodyDiv w:val="1"/>
      <w:marLeft w:val="0"/>
      <w:marRight w:val="0"/>
      <w:marTop w:val="0"/>
      <w:marBottom w:val="0"/>
      <w:divBdr>
        <w:top w:val="none" w:sz="0" w:space="0" w:color="auto"/>
        <w:left w:val="none" w:sz="0" w:space="0" w:color="auto"/>
        <w:bottom w:val="none" w:sz="0" w:space="0" w:color="auto"/>
        <w:right w:val="none" w:sz="0" w:space="0" w:color="auto"/>
      </w:divBdr>
    </w:div>
    <w:div w:id="80033116">
      <w:bodyDiv w:val="1"/>
      <w:marLeft w:val="0"/>
      <w:marRight w:val="0"/>
      <w:marTop w:val="0"/>
      <w:marBottom w:val="0"/>
      <w:divBdr>
        <w:top w:val="none" w:sz="0" w:space="0" w:color="auto"/>
        <w:left w:val="none" w:sz="0" w:space="0" w:color="auto"/>
        <w:bottom w:val="none" w:sz="0" w:space="0" w:color="auto"/>
        <w:right w:val="none" w:sz="0" w:space="0" w:color="auto"/>
      </w:divBdr>
    </w:div>
    <w:div w:id="90509446">
      <w:bodyDiv w:val="1"/>
      <w:marLeft w:val="0"/>
      <w:marRight w:val="0"/>
      <w:marTop w:val="0"/>
      <w:marBottom w:val="0"/>
      <w:divBdr>
        <w:top w:val="none" w:sz="0" w:space="0" w:color="auto"/>
        <w:left w:val="none" w:sz="0" w:space="0" w:color="auto"/>
        <w:bottom w:val="none" w:sz="0" w:space="0" w:color="auto"/>
        <w:right w:val="none" w:sz="0" w:space="0" w:color="auto"/>
      </w:divBdr>
    </w:div>
    <w:div w:id="104546939">
      <w:bodyDiv w:val="1"/>
      <w:marLeft w:val="0"/>
      <w:marRight w:val="0"/>
      <w:marTop w:val="0"/>
      <w:marBottom w:val="0"/>
      <w:divBdr>
        <w:top w:val="none" w:sz="0" w:space="0" w:color="auto"/>
        <w:left w:val="none" w:sz="0" w:space="0" w:color="auto"/>
        <w:bottom w:val="none" w:sz="0" w:space="0" w:color="auto"/>
        <w:right w:val="none" w:sz="0" w:space="0" w:color="auto"/>
      </w:divBdr>
    </w:div>
    <w:div w:id="136266347">
      <w:bodyDiv w:val="1"/>
      <w:marLeft w:val="0"/>
      <w:marRight w:val="0"/>
      <w:marTop w:val="0"/>
      <w:marBottom w:val="0"/>
      <w:divBdr>
        <w:top w:val="none" w:sz="0" w:space="0" w:color="auto"/>
        <w:left w:val="none" w:sz="0" w:space="0" w:color="auto"/>
        <w:bottom w:val="none" w:sz="0" w:space="0" w:color="auto"/>
        <w:right w:val="none" w:sz="0" w:space="0" w:color="auto"/>
      </w:divBdr>
    </w:div>
    <w:div w:id="140117055">
      <w:bodyDiv w:val="1"/>
      <w:marLeft w:val="0"/>
      <w:marRight w:val="0"/>
      <w:marTop w:val="0"/>
      <w:marBottom w:val="0"/>
      <w:divBdr>
        <w:top w:val="none" w:sz="0" w:space="0" w:color="auto"/>
        <w:left w:val="none" w:sz="0" w:space="0" w:color="auto"/>
        <w:bottom w:val="none" w:sz="0" w:space="0" w:color="auto"/>
        <w:right w:val="none" w:sz="0" w:space="0" w:color="auto"/>
      </w:divBdr>
    </w:div>
    <w:div w:id="163010299">
      <w:bodyDiv w:val="1"/>
      <w:marLeft w:val="0"/>
      <w:marRight w:val="0"/>
      <w:marTop w:val="0"/>
      <w:marBottom w:val="0"/>
      <w:divBdr>
        <w:top w:val="none" w:sz="0" w:space="0" w:color="auto"/>
        <w:left w:val="none" w:sz="0" w:space="0" w:color="auto"/>
        <w:bottom w:val="none" w:sz="0" w:space="0" w:color="auto"/>
        <w:right w:val="none" w:sz="0" w:space="0" w:color="auto"/>
      </w:divBdr>
    </w:div>
    <w:div w:id="173543809">
      <w:bodyDiv w:val="1"/>
      <w:marLeft w:val="0"/>
      <w:marRight w:val="0"/>
      <w:marTop w:val="0"/>
      <w:marBottom w:val="0"/>
      <w:divBdr>
        <w:top w:val="none" w:sz="0" w:space="0" w:color="auto"/>
        <w:left w:val="none" w:sz="0" w:space="0" w:color="auto"/>
        <w:bottom w:val="none" w:sz="0" w:space="0" w:color="auto"/>
        <w:right w:val="none" w:sz="0" w:space="0" w:color="auto"/>
      </w:divBdr>
    </w:div>
    <w:div w:id="178324474">
      <w:bodyDiv w:val="1"/>
      <w:marLeft w:val="0"/>
      <w:marRight w:val="0"/>
      <w:marTop w:val="0"/>
      <w:marBottom w:val="0"/>
      <w:divBdr>
        <w:top w:val="none" w:sz="0" w:space="0" w:color="auto"/>
        <w:left w:val="none" w:sz="0" w:space="0" w:color="auto"/>
        <w:bottom w:val="none" w:sz="0" w:space="0" w:color="auto"/>
        <w:right w:val="none" w:sz="0" w:space="0" w:color="auto"/>
      </w:divBdr>
    </w:div>
    <w:div w:id="215624977">
      <w:bodyDiv w:val="1"/>
      <w:marLeft w:val="0"/>
      <w:marRight w:val="0"/>
      <w:marTop w:val="0"/>
      <w:marBottom w:val="0"/>
      <w:divBdr>
        <w:top w:val="none" w:sz="0" w:space="0" w:color="auto"/>
        <w:left w:val="none" w:sz="0" w:space="0" w:color="auto"/>
        <w:bottom w:val="none" w:sz="0" w:space="0" w:color="auto"/>
        <w:right w:val="none" w:sz="0" w:space="0" w:color="auto"/>
      </w:divBdr>
    </w:div>
    <w:div w:id="232277209">
      <w:bodyDiv w:val="1"/>
      <w:marLeft w:val="0"/>
      <w:marRight w:val="0"/>
      <w:marTop w:val="0"/>
      <w:marBottom w:val="0"/>
      <w:divBdr>
        <w:top w:val="none" w:sz="0" w:space="0" w:color="auto"/>
        <w:left w:val="none" w:sz="0" w:space="0" w:color="auto"/>
        <w:bottom w:val="none" w:sz="0" w:space="0" w:color="auto"/>
        <w:right w:val="none" w:sz="0" w:space="0" w:color="auto"/>
      </w:divBdr>
    </w:div>
    <w:div w:id="264189149">
      <w:bodyDiv w:val="1"/>
      <w:marLeft w:val="0"/>
      <w:marRight w:val="0"/>
      <w:marTop w:val="0"/>
      <w:marBottom w:val="0"/>
      <w:divBdr>
        <w:top w:val="none" w:sz="0" w:space="0" w:color="auto"/>
        <w:left w:val="none" w:sz="0" w:space="0" w:color="auto"/>
        <w:bottom w:val="none" w:sz="0" w:space="0" w:color="auto"/>
        <w:right w:val="none" w:sz="0" w:space="0" w:color="auto"/>
      </w:divBdr>
    </w:div>
    <w:div w:id="280452950">
      <w:bodyDiv w:val="1"/>
      <w:marLeft w:val="0"/>
      <w:marRight w:val="0"/>
      <w:marTop w:val="0"/>
      <w:marBottom w:val="0"/>
      <w:divBdr>
        <w:top w:val="none" w:sz="0" w:space="0" w:color="auto"/>
        <w:left w:val="none" w:sz="0" w:space="0" w:color="auto"/>
        <w:bottom w:val="none" w:sz="0" w:space="0" w:color="auto"/>
        <w:right w:val="none" w:sz="0" w:space="0" w:color="auto"/>
      </w:divBdr>
    </w:div>
    <w:div w:id="325286621">
      <w:bodyDiv w:val="1"/>
      <w:marLeft w:val="0"/>
      <w:marRight w:val="0"/>
      <w:marTop w:val="0"/>
      <w:marBottom w:val="0"/>
      <w:divBdr>
        <w:top w:val="none" w:sz="0" w:space="0" w:color="auto"/>
        <w:left w:val="none" w:sz="0" w:space="0" w:color="auto"/>
        <w:bottom w:val="none" w:sz="0" w:space="0" w:color="auto"/>
        <w:right w:val="none" w:sz="0" w:space="0" w:color="auto"/>
      </w:divBdr>
    </w:div>
    <w:div w:id="337536607">
      <w:bodyDiv w:val="1"/>
      <w:marLeft w:val="0"/>
      <w:marRight w:val="0"/>
      <w:marTop w:val="0"/>
      <w:marBottom w:val="0"/>
      <w:divBdr>
        <w:top w:val="none" w:sz="0" w:space="0" w:color="auto"/>
        <w:left w:val="none" w:sz="0" w:space="0" w:color="auto"/>
        <w:bottom w:val="none" w:sz="0" w:space="0" w:color="auto"/>
        <w:right w:val="none" w:sz="0" w:space="0" w:color="auto"/>
      </w:divBdr>
    </w:div>
    <w:div w:id="363408108">
      <w:bodyDiv w:val="1"/>
      <w:marLeft w:val="0"/>
      <w:marRight w:val="0"/>
      <w:marTop w:val="0"/>
      <w:marBottom w:val="0"/>
      <w:divBdr>
        <w:top w:val="none" w:sz="0" w:space="0" w:color="auto"/>
        <w:left w:val="none" w:sz="0" w:space="0" w:color="auto"/>
        <w:bottom w:val="none" w:sz="0" w:space="0" w:color="auto"/>
        <w:right w:val="none" w:sz="0" w:space="0" w:color="auto"/>
      </w:divBdr>
    </w:div>
    <w:div w:id="364143053">
      <w:bodyDiv w:val="1"/>
      <w:marLeft w:val="0"/>
      <w:marRight w:val="0"/>
      <w:marTop w:val="0"/>
      <w:marBottom w:val="0"/>
      <w:divBdr>
        <w:top w:val="none" w:sz="0" w:space="0" w:color="auto"/>
        <w:left w:val="none" w:sz="0" w:space="0" w:color="auto"/>
        <w:bottom w:val="none" w:sz="0" w:space="0" w:color="auto"/>
        <w:right w:val="none" w:sz="0" w:space="0" w:color="auto"/>
      </w:divBdr>
    </w:div>
    <w:div w:id="436097199">
      <w:bodyDiv w:val="1"/>
      <w:marLeft w:val="0"/>
      <w:marRight w:val="0"/>
      <w:marTop w:val="0"/>
      <w:marBottom w:val="0"/>
      <w:divBdr>
        <w:top w:val="none" w:sz="0" w:space="0" w:color="auto"/>
        <w:left w:val="none" w:sz="0" w:space="0" w:color="auto"/>
        <w:bottom w:val="none" w:sz="0" w:space="0" w:color="auto"/>
        <w:right w:val="none" w:sz="0" w:space="0" w:color="auto"/>
      </w:divBdr>
    </w:div>
    <w:div w:id="454718367">
      <w:bodyDiv w:val="1"/>
      <w:marLeft w:val="0"/>
      <w:marRight w:val="0"/>
      <w:marTop w:val="0"/>
      <w:marBottom w:val="0"/>
      <w:divBdr>
        <w:top w:val="none" w:sz="0" w:space="0" w:color="auto"/>
        <w:left w:val="none" w:sz="0" w:space="0" w:color="auto"/>
        <w:bottom w:val="none" w:sz="0" w:space="0" w:color="auto"/>
        <w:right w:val="none" w:sz="0" w:space="0" w:color="auto"/>
      </w:divBdr>
    </w:div>
    <w:div w:id="518347716">
      <w:bodyDiv w:val="1"/>
      <w:marLeft w:val="0"/>
      <w:marRight w:val="0"/>
      <w:marTop w:val="0"/>
      <w:marBottom w:val="0"/>
      <w:divBdr>
        <w:top w:val="none" w:sz="0" w:space="0" w:color="auto"/>
        <w:left w:val="none" w:sz="0" w:space="0" w:color="auto"/>
        <w:bottom w:val="none" w:sz="0" w:space="0" w:color="auto"/>
        <w:right w:val="none" w:sz="0" w:space="0" w:color="auto"/>
      </w:divBdr>
    </w:div>
    <w:div w:id="555161166">
      <w:bodyDiv w:val="1"/>
      <w:marLeft w:val="0"/>
      <w:marRight w:val="0"/>
      <w:marTop w:val="0"/>
      <w:marBottom w:val="0"/>
      <w:divBdr>
        <w:top w:val="none" w:sz="0" w:space="0" w:color="auto"/>
        <w:left w:val="none" w:sz="0" w:space="0" w:color="auto"/>
        <w:bottom w:val="none" w:sz="0" w:space="0" w:color="auto"/>
        <w:right w:val="none" w:sz="0" w:space="0" w:color="auto"/>
      </w:divBdr>
    </w:div>
    <w:div w:id="574435269">
      <w:bodyDiv w:val="1"/>
      <w:marLeft w:val="0"/>
      <w:marRight w:val="0"/>
      <w:marTop w:val="0"/>
      <w:marBottom w:val="0"/>
      <w:divBdr>
        <w:top w:val="none" w:sz="0" w:space="0" w:color="auto"/>
        <w:left w:val="none" w:sz="0" w:space="0" w:color="auto"/>
        <w:bottom w:val="none" w:sz="0" w:space="0" w:color="auto"/>
        <w:right w:val="none" w:sz="0" w:space="0" w:color="auto"/>
      </w:divBdr>
    </w:div>
    <w:div w:id="628240586">
      <w:bodyDiv w:val="1"/>
      <w:marLeft w:val="0"/>
      <w:marRight w:val="0"/>
      <w:marTop w:val="0"/>
      <w:marBottom w:val="0"/>
      <w:divBdr>
        <w:top w:val="none" w:sz="0" w:space="0" w:color="auto"/>
        <w:left w:val="none" w:sz="0" w:space="0" w:color="auto"/>
        <w:bottom w:val="none" w:sz="0" w:space="0" w:color="auto"/>
        <w:right w:val="none" w:sz="0" w:space="0" w:color="auto"/>
      </w:divBdr>
    </w:div>
    <w:div w:id="701637428">
      <w:bodyDiv w:val="1"/>
      <w:marLeft w:val="0"/>
      <w:marRight w:val="0"/>
      <w:marTop w:val="0"/>
      <w:marBottom w:val="0"/>
      <w:divBdr>
        <w:top w:val="none" w:sz="0" w:space="0" w:color="auto"/>
        <w:left w:val="none" w:sz="0" w:space="0" w:color="auto"/>
        <w:bottom w:val="none" w:sz="0" w:space="0" w:color="auto"/>
        <w:right w:val="none" w:sz="0" w:space="0" w:color="auto"/>
      </w:divBdr>
    </w:div>
    <w:div w:id="702905629">
      <w:bodyDiv w:val="1"/>
      <w:marLeft w:val="0"/>
      <w:marRight w:val="0"/>
      <w:marTop w:val="0"/>
      <w:marBottom w:val="0"/>
      <w:divBdr>
        <w:top w:val="none" w:sz="0" w:space="0" w:color="auto"/>
        <w:left w:val="none" w:sz="0" w:space="0" w:color="auto"/>
        <w:bottom w:val="none" w:sz="0" w:space="0" w:color="auto"/>
        <w:right w:val="none" w:sz="0" w:space="0" w:color="auto"/>
      </w:divBdr>
    </w:div>
    <w:div w:id="706225295">
      <w:bodyDiv w:val="1"/>
      <w:marLeft w:val="0"/>
      <w:marRight w:val="0"/>
      <w:marTop w:val="0"/>
      <w:marBottom w:val="0"/>
      <w:divBdr>
        <w:top w:val="none" w:sz="0" w:space="0" w:color="auto"/>
        <w:left w:val="none" w:sz="0" w:space="0" w:color="auto"/>
        <w:bottom w:val="none" w:sz="0" w:space="0" w:color="auto"/>
        <w:right w:val="none" w:sz="0" w:space="0" w:color="auto"/>
      </w:divBdr>
    </w:div>
    <w:div w:id="717822730">
      <w:bodyDiv w:val="1"/>
      <w:marLeft w:val="0"/>
      <w:marRight w:val="0"/>
      <w:marTop w:val="0"/>
      <w:marBottom w:val="0"/>
      <w:divBdr>
        <w:top w:val="none" w:sz="0" w:space="0" w:color="auto"/>
        <w:left w:val="none" w:sz="0" w:space="0" w:color="auto"/>
        <w:bottom w:val="none" w:sz="0" w:space="0" w:color="auto"/>
        <w:right w:val="none" w:sz="0" w:space="0" w:color="auto"/>
      </w:divBdr>
    </w:div>
    <w:div w:id="728772931">
      <w:bodyDiv w:val="1"/>
      <w:marLeft w:val="0"/>
      <w:marRight w:val="0"/>
      <w:marTop w:val="0"/>
      <w:marBottom w:val="0"/>
      <w:divBdr>
        <w:top w:val="none" w:sz="0" w:space="0" w:color="auto"/>
        <w:left w:val="none" w:sz="0" w:space="0" w:color="auto"/>
        <w:bottom w:val="none" w:sz="0" w:space="0" w:color="auto"/>
        <w:right w:val="none" w:sz="0" w:space="0" w:color="auto"/>
      </w:divBdr>
    </w:div>
    <w:div w:id="746733171">
      <w:bodyDiv w:val="1"/>
      <w:marLeft w:val="0"/>
      <w:marRight w:val="0"/>
      <w:marTop w:val="0"/>
      <w:marBottom w:val="0"/>
      <w:divBdr>
        <w:top w:val="none" w:sz="0" w:space="0" w:color="auto"/>
        <w:left w:val="none" w:sz="0" w:space="0" w:color="auto"/>
        <w:bottom w:val="none" w:sz="0" w:space="0" w:color="auto"/>
        <w:right w:val="none" w:sz="0" w:space="0" w:color="auto"/>
      </w:divBdr>
    </w:div>
    <w:div w:id="813572059">
      <w:bodyDiv w:val="1"/>
      <w:marLeft w:val="0"/>
      <w:marRight w:val="0"/>
      <w:marTop w:val="0"/>
      <w:marBottom w:val="0"/>
      <w:divBdr>
        <w:top w:val="none" w:sz="0" w:space="0" w:color="auto"/>
        <w:left w:val="none" w:sz="0" w:space="0" w:color="auto"/>
        <w:bottom w:val="none" w:sz="0" w:space="0" w:color="auto"/>
        <w:right w:val="none" w:sz="0" w:space="0" w:color="auto"/>
      </w:divBdr>
    </w:div>
    <w:div w:id="853492347">
      <w:bodyDiv w:val="1"/>
      <w:marLeft w:val="0"/>
      <w:marRight w:val="0"/>
      <w:marTop w:val="0"/>
      <w:marBottom w:val="0"/>
      <w:divBdr>
        <w:top w:val="none" w:sz="0" w:space="0" w:color="auto"/>
        <w:left w:val="none" w:sz="0" w:space="0" w:color="auto"/>
        <w:bottom w:val="none" w:sz="0" w:space="0" w:color="auto"/>
        <w:right w:val="none" w:sz="0" w:space="0" w:color="auto"/>
      </w:divBdr>
    </w:div>
    <w:div w:id="871920691">
      <w:bodyDiv w:val="1"/>
      <w:marLeft w:val="0"/>
      <w:marRight w:val="0"/>
      <w:marTop w:val="0"/>
      <w:marBottom w:val="0"/>
      <w:divBdr>
        <w:top w:val="none" w:sz="0" w:space="0" w:color="auto"/>
        <w:left w:val="none" w:sz="0" w:space="0" w:color="auto"/>
        <w:bottom w:val="none" w:sz="0" w:space="0" w:color="auto"/>
        <w:right w:val="none" w:sz="0" w:space="0" w:color="auto"/>
      </w:divBdr>
    </w:div>
    <w:div w:id="923296483">
      <w:bodyDiv w:val="1"/>
      <w:marLeft w:val="0"/>
      <w:marRight w:val="0"/>
      <w:marTop w:val="0"/>
      <w:marBottom w:val="0"/>
      <w:divBdr>
        <w:top w:val="none" w:sz="0" w:space="0" w:color="auto"/>
        <w:left w:val="none" w:sz="0" w:space="0" w:color="auto"/>
        <w:bottom w:val="none" w:sz="0" w:space="0" w:color="auto"/>
        <w:right w:val="none" w:sz="0" w:space="0" w:color="auto"/>
      </w:divBdr>
    </w:div>
    <w:div w:id="1049308385">
      <w:bodyDiv w:val="1"/>
      <w:marLeft w:val="0"/>
      <w:marRight w:val="0"/>
      <w:marTop w:val="0"/>
      <w:marBottom w:val="0"/>
      <w:divBdr>
        <w:top w:val="none" w:sz="0" w:space="0" w:color="auto"/>
        <w:left w:val="none" w:sz="0" w:space="0" w:color="auto"/>
        <w:bottom w:val="none" w:sz="0" w:space="0" w:color="auto"/>
        <w:right w:val="none" w:sz="0" w:space="0" w:color="auto"/>
      </w:divBdr>
    </w:div>
    <w:div w:id="1066224837">
      <w:bodyDiv w:val="1"/>
      <w:marLeft w:val="0"/>
      <w:marRight w:val="0"/>
      <w:marTop w:val="0"/>
      <w:marBottom w:val="0"/>
      <w:divBdr>
        <w:top w:val="none" w:sz="0" w:space="0" w:color="auto"/>
        <w:left w:val="none" w:sz="0" w:space="0" w:color="auto"/>
        <w:bottom w:val="none" w:sz="0" w:space="0" w:color="auto"/>
        <w:right w:val="none" w:sz="0" w:space="0" w:color="auto"/>
      </w:divBdr>
    </w:div>
    <w:div w:id="1066993276">
      <w:bodyDiv w:val="1"/>
      <w:marLeft w:val="0"/>
      <w:marRight w:val="0"/>
      <w:marTop w:val="0"/>
      <w:marBottom w:val="0"/>
      <w:divBdr>
        <w:top w:val="none" w:sz="0" w:space="0" w:color="auto"/>
        <w:left w:val="none" w:sz="0" w:space="0" w:color="auto"/>
        <w:bottom w:val="none" w:sz="0" w:space="0" w:color="auto"/>
        <w:right w:val="none" w:sz="0" w:space="0" w:color="auto"/>
      </w:divBdr>
    </w:div>
    <w:div w:id="1080521827">
      <w:bodyDiv w:val="1"/>
      <w:marLeft w:val="0"/>
      <w:marRight w:val="0"/>
      <w:marTop w:val="0"/>
      <w:marBottom w:val="0"/>
      <w:divBdr>
        <w:top w:val="none" w:sz="0" w:space="0" w:color="auto"/>
        <w:left w:val="none" w:sz="0" w:space="0" w:color="auto"/>
        <w:bottom w:val="none" w:sz="0" w:space="0" w:color="auto"/>
        <w:right w:val="none" w:sz="0" w:space="0" w:color="auto"/>
      </w:divBdr>
    </w:div>
    <w:div w:id="1094010896">
      <w:bodyDiv w:val="1"/>
      <w:marLeft w:val="0"/>
      <w:marRight w:val="0"/>
      <w:marTop w:val="0"/>
      <w:marBottom w:val="0"/>
      <w:divBdr>
        <w:top w:val="none" w:sz="0" w:space="0" w:color="auto"/>
        <w:left w:val="none" w:sz="0" w:space="0" w:color="auto"/>
        <w:bottom w:val="none" w:sz="0" w:space="0" w:color="auto"/>
        <w:right w:val="none" w:sz="0" w:space="0" w:color="auto"/>
      </w:divBdr>
    </w:div>
    <w:div w:id="1111895241">
      <w:bodyDiv w:val="1"/>
      <w:marLeft w:val="0"/>
      <w:marRight w:val="0"/>
      <w:marTop w:val="0"/>
      <w:marBottom w:val="0"/>
      <w:divBdr>
        <w:top w:val="none" w:sz="0" w:space="0" w:color="auto"/>
        <w:left w:val="none" w:sz="0" w:space="0" w:color="auto"/>
        <w:bottom w:val="none" w:sz="0" w:space="0" w:color="auto"/>
        <w:right w:val="none" w:sz="0" w:space="0" w:color="auto"/>
      </w:divBdr>
    </w:div>
    <w:div w:id="1128933287">
      <w:bodyDiv w:val="1"/>
      <w:marLeft w:val="0"/>
      <w:marRight w:val="0"/>
      <w:marTop w:val="0"/>
      <w:marBottom w:val="0"/>
      <w:divBdr>
        <w:top w:val="none" w:sz="0" w:space="0" w:color="auto"/>
        <w:left w:val="none" w:sz="0" w:space="0" w:color="auto"/>
        <w:bottom w:val="none" w:sz="0" w:space="0" w:color="auto"/>
        <w:right w:val="none" w:sz="0" w:space="0" w:color="auto"/>
      </w:divBdr>
    </w:div>
    <w:div w:id="1216428665">
      <w:bodyDiv w:val="1"/>
      <w:marLeft w:val="0"/>
      <w:marRight w:val="0"/>
      <w:marTop w:val="0"/>
      <w:marBottom w:val="0"/>
      <w:divBdr>
        <w:top w:val="none" w:sz="0" w:space="0" w:color="auto"/>
        <w:left w:val="none" w:sz="0" w:space="0" w:color="auto"/>
        <w:bottom w:val="none" w:sz="0" w:space="0" w:color="auto"/>
        <w:right w:val="none" w:sz="0" w:space="0" w:color="auto"/>
      </w:divBdr>
    </w:div>
    <w:div w:id="1220484602">
      <w:bodyDiv w:val="1"/>
      <w:marLeft w:val="0"/>
      <w:marRight w:val="0"/>
      <w:marTop w:val="0"/>
      <w:marBottom w:val="0"/>
      <w:divBdr>
        <w:top w:val="none" w:sz="0" w:space="0" w:color="auto"/>
        <w:left w:val="none" w:sz="0" w:space="0" w:color="auto"/>
        <w:bottom w:val="none" w:sz="0" w:space="0" w:color="auto"/>
        <w:right w:val="none" w:sz="0" w:space="0" w:color="auto"/>
      </w:divBdr>
    </w:div>
    <w:div w:id="1313097347">
      <w:bodyDiv w:val="1"/>
      <w:marLeft w:val="0"/>
      <w:marRight w:val="0"/>
      <w:marTop w:val="0"/>
      <w:marBottom w:val="0"/>
      <w:divBdr>
        <w:top w:val="none" w:sz="0" w:space="0" w:color="auto"/>
        <w:left w:val="none" w:sz="0" w:space="0" w:color="auto"/>
        <w:bottom w:val="none" w:sz="0" w:space="0" w:color="auto"/>
        <w:right w:val="none" w:sz="0" w:space="0" w:color="auto"/>
      </w:divBdr>
    </w:div>
    <w:div w:id="1355769954">
      <w:bodyDiv w:val="1"/>
      <w:marLeft w:val="0"/>
      <w:marRight w:val="0"/>
      <w:marTop w:val="0"/>
      <w:marBottom w:val="0"/>
      <w:divBdr>
        <w:top w:val="none" w:sz="0" w:space="0" w:color="auto"/>
        <w:left w:val="none" w:sz="0" w:space="0" w:color="auto"/>
        <w:bottom w:val="none" w:sz="0" w:space="0" w:color="auto"/>
        <w:right w:val="none" w:sz="0" w:space="0" w:color="auto"/>
      </w:divBdr>
    </w:div>
    <w:div w:id="1419905480">
      <w:bodyDiv w:val="1"/>
      <w:marLeft w:val="0"/>
      <w:marRight w:val="0"/>
      <w:marTop w:val="0"/>
      <w:marBottom w:val="0"/>
      <w:divBdr>
        <w:top w:val="none" w:sz="0" w:space="0" w:color="auto"/>
        <w:left w:val="none" w:sz="0" w:space="0" w:color="auto"/>
        <w:bottom w:val="none" w:sz="0" w:space="0" w:color="auto"/>
        <w:right w:val="none" w:sz="0" w:space="0" w:color="auto"/>
      </w:divBdr>
    </w:div>
    <w:div w:id="1426918380">
      <w:bodyDiv w:val="1"/>
      <w:marLeft w:val="0"/>
      <w:marRight w:val="0"/>
      <w:marTop w:val="0"/>
      <w:marBottom w:val="0"/>
      <w:divBdr>
        <w:top w:val="none" w:sz="0" w:space="0" w:color="auto"/>
        <w:left w:val="none" w:sz="0" w:space="0" w:color="auto"/>
        <w:bottom w:val="none" w:sz="0" w:space="0" w:color="auto"/>
        <w:right w:val="none" w:sz="0" w:space="0" w:color="auto"/>
      </w:divBdr>
    </w:div>
    <w:div w:id="1432969048">
      <w:bodyDiv w:val="1"/>
      <w:marLeft w:val="0"/>
      <w:marRight w:val="0"/>
      <w:marTop w:val="0"/>
      <w:marBottom w:val="0"/>
      <w:divBdr>
        <w:top w:val="none" w:sz="0" w:space="0" w:color="auto"/>
        <w:left w:val="none" w:sz="0" w:space="0" w:color="auto"/>
        <w:bottom w:val="none" w:sz="0" w:space="0" w:color="auto"/>
        <w:right w:val="none" w:sz="0" w:space="0" w:color="auto"/>
      </w:divBdr>
    </w:div>
    <w:div w:id="1475752635">
      <w:bodyDiv w:val="1"/>
      <w:marLeft w:val="0"/>
      <w:marRight w:val="0"/>
      <w:marTop w:val="0"/>
      <w:marBottom w:val="0"/>
      <w:divBdr>
        <w:top w:val="none" w:sz="0" w:space="0" w:color="auto"/>
        <w:left w:val="none" w:sz="0" w:space="0" w:color="auto"/>
        <w:bottom w:val="none" w:sz="0" w:space="0" w:color="auto"/>
        <w:right w:val="none" w:sz="0" w:space="0" w:color="auto"/>
      </w:divBdr>
    </w:div>
    <w:div w:id="1482966436">
      <w:bodyDiv w:val="1"/>
      <w:marLeft w:val="0"/>
      <w:marRight w:val="0"/>
      <w:marTop w:val="0"/>
      <w:marBottom w:val="0"/>
      <w:divBdr>
        <w:top w:val="none" w:sz="0" w:space="0" w:color="auto"/>
        <w:left w:val="none" w:sz="0" w:space="0" w:color="auto"/>
        <w:bottom w:val="none" w:sz="0" w:space="0" w:color="auto"/>
        <w:right w:val="none" w:sz="0" w:space="0" w:color="auto"/>
      </w:divBdr>
    </w:div>
    <w:div w:id="1530411984">
      <w:bodyDiv w:val="1"/>
      <w:marLeft w:val="0"/>
      <w:marRight w:val="0"/>
      <w:marTop w:val="0"/>
      <w:marBottom w:val="0"/>
      <w:divBdr>
        <w:top w:val="none" w:sz="0" w:space="0" w:color="auto"/>
        <w:left w:val="none" w:sz="0" w:space="0" w:color="auto"/>
        <w:bottom w:val="none" w:sz="0" w:space="0" w:color="auto"/>
        <w:right w:val="none" w:sz="0" w:space="0" w:color="auto"/>
      </w:divBdr>
    </w:div>
    <w:div w:id="1535730042">
      <w:bodyDiv w:val="1"/>
      <w:marLeft w:val="0"/>
      <w:marRight w:val="0"/>
      <w:marTop w:val="0"/>
      <w:marBottom w:val="0"/>
      <w:divBdr>
        <w:top w:val="none" w:sz="0" w:space="0" w:color="auto"/>
        <w:left w:val="none" w:sz="0" w:space="0" w:color="auto"/>
        <w:bottom w:val="none" w:sz="0" w:space="0" w:color="auto"/>
        <w:right w:val="none" w:sz="0" w:space="0" w:color="auto"/>
      </w:divBdr>
    </w:div>
    <w:div w:id="1553224795">
      <w:bodyDiv w:val="1"/>
      <w:marLeft w:val="0"/>
      <w:marRight w:val="0"/>
      <w:marTop w:val="0"/>
      <w:marBottom w:val="0"/>
      <w:divBdr>
        <w:top w:val="none" w:sz="0" w:space="0" w:color="auto"/>
        <w:left w:val="none" w:sz="0" w:space="0" w:color="auto"/>
        <w:bottom w:val="none" w:sz="0" w:space="0" w:color="auto"/>
        <w:right w:val="none" w:sz="0" w:space="0" w:color="auto"/>
      </w:divBdr>
    </w:div>
    <w:div w:id="1565678489">
      <w:bodyDiv w:val="1"/>
      <w:marLeft w:val="0"/>
      <w:marRight w:val="0"/>
      <w:marTop w:val="0"/>
      <w:marBottom w:val="0"/>
      <w:divBdr>
        <w:top w:val="none" w:sz="0" w:space="0" w:color="auto"/>
        <w:left w:val="none" w:sz="0" w:space="0" w:color="auto"/>
        <w:bottom w:val="none" w:sz="0" w:space="0" w:color="auto"/>
        <w:right w:val="none" w:sz="0" w:space="0" w:color="auto"/>
      </w:divBdr>
    </w:div>
    <w:div w:id="1579748293">
      <w:bodyDiv w:val="1"/>
      <w:marLeft w:val="0"/>
      <w:marRight w:val="0"/>
      <w:marTop w:val="0"/>
      <w:marBottom w:val="0"/>
      <w:divBdr>
        <w:top w:val="none" w:sz="0" w:space="0" w:color="auto"/>
        <w:left w:val="none" w:sz="0" w:space="0" w:color="auto"/>
        <w:bottom w:val="none" w:sz="0" w:space="0" w:color="auto"/>
        <w:right w:val="none" w:sz="0" w:space="0" w:color="auto"/>
      </w:divBdr>
    </w:div>
    <w:div w:id="1625886090">
      <w:bodyDiv w:val="1"/>
      <w:marLeft w:val="0"/>
      <w:marRight w:val="0"/>
      <w:marTop w:val="0"/>
      <w:marBottom w:val="0"/>
      <w:divBdr>
        <w:top w:val="none" w:sz="0" w:space="0" w:color="auto"/>
        <w:left w:val="none" w:sz="0" w:space="0" w:color="auto"/>
        <w:bottom w:val="none" w:sz="0" w:space="0" w:color="auto"/>
        <w:right w:val="none" w:sz="0" w:space="0" w:color="auto"/>
      </w:divBdr>
    </w:div>
    <w:div w:id="1645817124">
      <w:bodyDiv w:val="1"/>
      <w:marLeft w:val="0"/>
      <w:marRight w:val="0"/>
      <w:marTop w:val="0"/>
      <w:marBottom w:val="0"/>
      <w:divBdr>
        <w:top w:val="none" w:sz="0" w:space="0" w:color="auto"/>
        <w:left w:val="none" w:sz="0" w:space="0" w:color="auto"/>
        <w:bottom w:val="none" w:sz="0" w:space="0" w:color="auto"/>
        <w:right w:val="none" w:sz="0" w:space="0" w:color="auto"/>
      </w:divBdr>
    </w:div>
    <w:div w:id="1672835975">
      <w:bodyDiv w:val="1"/>
      <w:marLeft w:val="0"/>
      <w:marRight w:val="0"/>
      <w:marTop w:val="0"/>
      <w:marBottom w:val="0"/>
      <w:divBdr>
        <w:top w:val="none" w:sz="0" w:space="0" w:color="auto"/>
        <w:left w:val="none" w:sz="0" w:space="0" w:color="auto"/>
        <w:bottom w:val="none" w:sz="0" w:space="0" w:color="auto"/>
        <w:right w:val="none" w:sz="0" w:space="0" w:color="auto"/>
      </w:divBdr>
    </w:div>
    <w:div w:id="1709840354">
      <w:bodyDiv w:val="1"/>
      <w:marLeft w:val="0"/>
      <w:marRight w:val="0"/>
      <w:marTop w:val="0"/>
      <w:marBottom w:val="0"/>
      <w:divBdr>
        <w:top w:val="none" w:sz="0" w:space="0" w:color="auto"/>
        <w:left w:val="none" w:sz="0" w:space="0" w:color="auto"/>
        <w:bottom w:val="none" w:sz="0" w:space="0" w:color="auto"/>
        <w:right w:val="none" w:sz="0" w:space="0" w:color="auto"/>
      </w:divBdr>
    </w:div>
    <w:div w:id="1731998997">
      <w:bodyDiv w:val="1"/>
      <w:marLeft w:val="0"/>
      <w:marRight w:val="0"/>
      <w:marTop w:val="0"/>
      <w:marBottom w:val="0"/>
      <w:divBdr>
        <w:top w:val="none" w:sz="0" w:space="0" w:color="auto"/>
        <w:left w:val="none" w:sz="0" w:space="0" w:color="auto"/>
        <w:bottom w:val="none" w:sz="0" w:space="0" w:color="auto"/>
        <w:right w:val="none" w:sz="0" w:space="0" w:color="auto"/>
      </w:divBdr>
    </w:div>
    <w:div w:id="1756047054">
      <w:bodyDiv w:val="1"/>
      <w:marLeft w:val="0"/>
      <w:marRight w:val="0"/>
      <w:marTop w:val="0"/>
      <w:marBottom w:val="0"/>
      <w:divBdr>
        <w:top w:val="none" w:sz="0" w:space="0" w:color="auto"/>
        <w:left w:val="none" w:sz="0" w:space="0" w:color="auto"/>
        <w:bottom w:val="none" w:sz="0" w:space="0" w:color="auto"/>
        <w:right w:val="none" w:sz="0" w:space="0" w:color="auto"/>
      </w:divBdr>
    </w:div>
    <w:div w:id="1771780348">
      <w:bodyDiv w:val="1"/>
      <w:marLeft w:val="0"/>
      <w:marRight w:val="0"/>
      <w:marTop w:val="0"/>
      <w:marBottom w:val="0"/>
      <w:divBdr>
        <w:top w:val="none" w:sz="0" w:space="0" w:color="auto"/>
        <w:left w:val="none" w:sz="0" w:space="0" w:color="auto"/>
        <w:bottom w:val="none" w:sz="0" w:space="0" w:color="auto"/>
        <w:right w:val="none" w:sz="0" w:space="0" w:color="auto"/>
      </w:divBdr>
    </w:div>
    <w:div w:id="1779520955">
      <w:bodyDiv w:val="1"/>
      <w:marLeft w:val="0"/>
      <w:marRight w:val="0"/>
      <w:marTop w:val="0"/>
      <w:marBottom w:val="0"/>
      <w:divBdr>
        <w:top w:val="none" w:sz="0" w:space="0" w:color="auto"/>
        <w:left w:val="none" w:sz="0" w:space="0" w:color="auto"/>
        <w:bottom w:val="none" w:sz="0" w:space="0" w:color="auto"/>
        <w:right w:val="none" w:sz="0" w:space="0" w:color="auto"/>
      </w:divBdr>
    </w:div>
    <w:div w:id="1809858693">
      <w:bodyDiv w:val="1"/>
      <w:marLeft w:val="0"/>
      <w:marRight w:val="0"/>
      <w:marTop w:val="0"/>
      <w:marBottom w:val="0"/>
      <w:divBdr>
        <w:top w:val="none" w:sz="0" w:space="0" w:color="auto"/>
        <w:left w:val="none" w:sz="0" w:space="0" w:color="auto"/>
        <w:bottom w:val="none" w:sz="0" w:space="0" w:color="auto"/>
        <w:right w:val="none" w:sz="0" w:space="0" w:color="auto"/>
      </w:divBdr>
    </w:div>
    <w:div w:id="1833528151">
      <w:bodyDiv w:val="1"/>
      <w:marLeft w:val="0"/>
      <w:marRight w:val="0"/>
      <w:marTop w:val="0"/>
      <w:marBottom w:val="0"/>
      <w:divBdr>
        <w:top w:val="none" w:sz="0" w:space="0" w:color="auto"/>
        <w:left w:val="none" w:sz="0" w:space="0" w:color="auto"/>
        <w:bottom w:val="none" w:sz="0" w:space="0" w:color="auto"/>
        <w:right w:val="none" w:sz="0" w:space="0" w:color="auto"/>
      </w:divBdr>
    </w:div>
    <w:div w:id="1860386038">
      <w:bodyDiv w:val="1"/>
      <w:marLeft w:val="0"/>
      <w:marRight w:val="0"/>
      <w:marTop w:val="0"/>
      <w:marBottom w:val="0"/>
      <w:divBdr>
        <w:top w:val="none" w:sz="0" w:space="0" w:color="auto"/>
        <w:left w:val="none" w:sz="0" w:space="0" w:color="auto"/>
        <w:bottom w:val="none" w:sz="0" w:space="0" w:color="auto"/>
        <w:right w:val="none" w:sz="0" w:space="0" w:color="auto"/>
      </w:divBdr>
    </w:div>
    <w:div w:id="1874533393">
      <w:bodyDiv w:val="1"/>
      <w:marLeft w:val="0"/>
      <w:marRight w:val="0"/>
      <w:marTop w:val="0"/>
      <w:marBottom w:val="0"/>
      <w:divBdr>
        <w:top w:val="none" w:sz="0" w:space="0" w:color="auto"/>
        <w:left w:val="none" w:sz="0" w:space="0" w:color="auto"/>
        <w:bottom w:val="none" w:sz="0" w:space="0" w:color="auto"/>
        <w:right w:val="none" w:sz="0" w:space="0" w:color="auto"/>
      </w:divBdr>
    </w:div>
    <w:div w:id="1985114573">
      <w:bodyDiv w:val="1"/>
      <w:marLeft w:val="0"/>
      <w:marRight w:val="0"/>
      <w:marTop w:val="0"/>
      <w:marBottom w:val="0"/>
      <w:divBdr>
        <w:top w:val="none" w:sz="0" w:space="0" w:color="auto"/>
        <w:left w:val="none" w:sz="0" w:space="0" w:color="auto"/>
        <w:bottom w:val="none" w:sz="0" w:space="0" w:color="auto"/>
        <w:right w:val="none" w:sz="0" w:space="0" w:color="auto"/>
      </w:divBdr>
    </w:div>
    <w:div w:id="2012945149">
      <w:bodyDiv w:val="1"/>
      <w:marLeft w:val="0"/>
      <w:marRight w:val="0"/>
      <w:marTop w:val="0"/>
      <w:marBottom w:val="0"/>
      <w:divBdr>
        <w:top w:val="none" w:sz="0" w:space="0" w:color="auto"/>
        <w:left w:val="none" w:sz="0" w:space="0" w:color="auto"/>
        <w:bottom w:val="none" w:sz="0" w:space="0" w:color="auto"/>
        <w:right w:val="none" w:sz="0" w:space="0" w:color="auto"/>
      </w:divBdr>
    </w:div>
    <w:div w:id="2041737060">
      <w:bodyDiv w:val="1"/>
      <w:marLeft w:val="0"/>
      <w:marRight w:val="0"/>
      <w:marTop w:val="0"/>
      <w:marBottom w:val="0"/>
      <w:divBdr>
        <w:top w:val="none" w:sz="0" w:space="0" w:color="auto"/>
        <w:left w:val="none" w:sz="0" w:space="0" w:color="auto"/>
        <w:bottom w:val="none" w:sz="0" w:space="0" w:color="auto"/>
        <w:right w:val="none" w:sz="0" w:space="0" w:color="auto"/>
      </w:divBdr>
    </w:div>
    <w:div w:id="2082866663">
      <w:bodyDiv w:val="1"/>
      <w:marLeft w:val="0"/>
      <w:marRight w:val="0"/>
      <w:marTop w:val="0"/>
      <w:marBottom w:val="0"/>
      <w:divBdr>
        <w:top w:val="none" w:sz="0" w:space="0" w:color="auto"/>
        <w:left w:val="none" w:sz="0" w:space="0" w:color="auto"/>
        <w:bottom w:val="none" w:sz="0" w:space="0" w:color="auto"/>
        <w:right w:val="none" w:sz="0" w:space="0" w:color="auto"/>
      </w:divBdr>
    </w:div>
    <w:div w:id="2108308425">
      <w:bodyDiv w:val="1"/>
      <w:marLeft w:val="0"/>
      <w:marRight w:val="0"/>
      <w:marTop w:val="0"/>
      <w:marBottom w:val="0"/>
      <w:divBdr>
        <w:top w:val="none" w:sz="0" w:space="0" w:color="auto"/>
        <w:left w:val="none" w:sz="0" w:space="0" w:color="auto"/>
        <w:bottom w:val="none" w:sz="0" w:space="0" w:color="auto"/>
        <w:right w:val="none" w:sz="0" w:space="0" w:color="auto"/>
      </w:divBdr>
    </w:div>
    <w:div w:id="2118518429">
      <w:bodyDiv w:val="1"/>
      <w:marLeft w:val="0"/>
      <w:marRight w:val="0"/>
      <w:marTop w:val="0"/>
      <w:marBottom w:val="0"/>
      <w:divBdr>
        <w:top w:val="none" w:sz="0" w:space="0" w:color="auto"/>
        <w:left w:val="none" w:sz="0" w:space="0" w:color="auto"/>
        <w:bottom w:val="none" w:sz="0" w:space="0" w:color="auto"/>
        <w:right w:val="none" w:sz="0" w:space="0" w:color="auto"/>
      </w:divBdr>
    </w:div>
    <w:div w:id="214565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s://ejournal3.undip.ac.id/index.php/accounting/article/view/59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Wel14</b:Tag>
    <b:SourceType>Book</b:SourceType>
    <b:Guid>{3B3028AD-EC3A-4DA7-AB1C-3DBE8EF5EA93}</b:Guid>
    <b:Author>
      <b:Author>
        <b:NameList>
          <b:Person>
            <b:Last>Wells</b:Last>
            <b:First>John</b:First>
            <b:Middle>T</b:Middle>
          </b:Person>
        </b:NameList>
      </b:Author>
    </b:Author>
    <b:Title>Principles of Fraud Examination</b:Title>
    <b:Year>2014</b:Year>
    <b:City>Chennai, India</b:City>
    <b:Publisher>Laser words Private Ltd</b:Publisher>
    <b:Pages>13-30</b:Pages>
    <b:RefOrder>3</b:RefOrder>
  </b:Source>
  <b:Source>
    <b:Tag>Adv19</b:Tag>
    <b:SourceType>Misc</b:SourceType>
    <b:Guid>{2007E18A-987F-4E75-9823-6E9EDF646CCF}</b:Guid>
    <b:Title>Pengaruh E-procurement dan Kompetensi Pegawai Terhadap Pencegahan Fraud Pengadaan Barang dan Jasa</b:Title>
    <b:Year>2019</b:Year>
    <b:Author>
      <b:Author>
        <b:NameList>
          <b:Person>
            <b:Last>Tarigan</b:Last>
            <b:First>A.</b:First>
            <b:Middle>P.</b:Middle>
          </b:Person>
        </b:NameList>
      </b:Author>
    </b:Author>
    <b:City>Jakarta</b:City>
    <b:Publisher>Universitas Bakrie</b:Publisher>
    <b:RefOrder>2</b:RefOrder>
  </b:Source>
  <b:Source>
    <b:Tag>Muh18</b:Tag>
    <b:SourceType>JournalArticle</b:SourceType>
    <b:Guid>{0A1F465F-BBA4-4F71-AB72-A29C4A365131}</b:Guid>
    <b:Author>
      <b:Author>
        <b:NameList>
          <b:Person>
            <b:Last>Siregar</b:Last>
            <b:First>Muhammad</b:First>
            <b:Middle>Ichsan</b:Middle>
          </b:Person>
          <b:Person>
            <b:Last>Hamdani</b:Last>
            <b:First>Mufid</b:First>
          </b:Person>
        </b:NameList>
      </b:Author>
    </b:Author>
    <b:Title>Pengaruh Kesesuaian Kompensasi, Keefektifan Sistem Pengendalian Internal, Budaya Organisasi, dan Kompetensi Terhadap Fraud</b:Title>
    <b:JournalName>Jurnal Ekonomi Global Masa Kini Mandiri</b:JournalName>
    <b:Year>2018</b:Year>
    <b:Pages>30-37</b:Pages>
    <b:RefOrder>11</b:RefOrder>
  </b:Source>
  <b:Source>
    <b:Tag>Bud20</b:Tag>
    <b:SourceType>JournalArticle</b:SourceType>
    <b:Guid>{5CF3AB9D-9ACE-49CA-9580-AA24D3CA73BF}</b:Guid>
    <b:Author>
      <b:Author>
        <b:NameList>
          <b:Person>
            <b:Last>Septiawan</b:Last>
            <b:First>Budi</b:First>
          </b:Person>
          <b:Person>
            <b:Last>Ningsih</b:Last>
            <b:First>Dini</b:First>
            <b:Middle>Fitria</b:Middle>
          </b:Person>
        </b:NameList>
      </b:Author>
    </b:Author>
    <b:Title>Penerapan E-procurement dan Pengendalian Internal Dalam Meningkatkan Efektivitas Pencegahan Fraud Pengadaan Barang dan Jasa</b:Title>
    <b:JournalName>Jurnal Riset Akuntansi dan Komputerisasi Akuntansi</b:JournalName>
    <b:Year>2020</b:Year>
    <b:Pages>269-287</b:Pages>
    <b:RefOrder>12</b:RefOrder>
  </b:Source>
  <b:Source>
    <b:Tag>Sek16</b:Tag>
    <b:SourceType>Book</b:SourceType>
    <b:Guid>{54E60A10-541A-4893-BA1F-07CD7A48678C}</b:Guid>
    <b:Author>
      <b:Author>
        <b:NameList>
          <b:Person>
            <b:Last>Sekaran</b:Last>
            <b:First>U</b:First>
          </b:Person>
          <b:Person>
            <b:Last>Bougie</b:Last>
            <b:First>R</b:First>
          </b:Person>
        </b:NameList>
      </b:Author>
    </b:Author>
    <b:Title>Research Methods for Business (Seventh Edition)</b:Title>
    <b:Year>2016</b:Year>
    <b:Publisher>John Wiley &amp; Sons Ltd</b:Publisher>
    <b:RefOrder>7</b:RefOrder>
  </b:Source>
  <b:Source>
    <b:Tag>Sau15</b:Tag>
    <b:SourceType>Book</b:SourceType>
    <b:Guid>{8FA68541-7586-4185-BAFB-1B23BAF0850C}</b:Guid>
    <b:Author>
      <b:Author>
        <b:NameList>
          <b:Person>
            <b:Last>Saunders</b:Last>
            <b:First>M.</b:First>
            <b:Middle>N. K.</b:Middle>
          </b:Person>
          <b:Person>
            <b:Last>Lewis</b:Last>
            <b:First>P</b:First>
          </b:Person>
          <b:Person>
            <b:Last>Thornhill</b:Last>
            <b:First>A</b:First>
          </b:Person>
        </b:NameList>
      </b:Author>
    </b:Author>
    <b:Title>Research Methods for Business Students (Seventh Edition)</b:Title>
    <b:Year>2015</b:Year>
    <b:Publisher>Pearson Education</b:Publisher>
    <b:RefOrder>13</b:RefOrder>
  </b:Source>
  <b:Source>
    <b:Tag>Saa20</b:Tag>
    <b:SourceType>JournalArticle</b:SourceType>
    <b:Guid>{68B6A67B-E92E-47DB-A266-E4C69E87E768}</b:Guid>
    <b:Author>
      <b:Author>
        <b:NameList>
          <b:Person>
            <b:Last>Sa'adah</b:Last>
            <b:First>Nurus</b:First>
          </b:Person>
        </b:NameList>
      </b:Author>
    </b:Author>
    <b:Title>The Implementation of E-procurement in Indonesia: Benefits, Risks, and Problems</b:Title>
    <b:JournalName>Inferensi</b:JournalName>
    <b:Year>2020</b:Year>
    <b:Pages>283-304</b:Pages>
    <b:RefOrder>14</b:RefOrder>
  </b:Source>
  <b:Source>
    <b:Tag>NiW19</b:Tag>
    <b:SourceType>JournalArticle</b:SourceType>
    <b:Guid>{047E9C8F-1C01-436A-914F-9E94234BD4C5}</b:Guid>
    <b:Title>Fraud Triangle in Public Procurement: Evidence from Indonesia</b:Title>
    <b:Year>2019</b:Year>
    <b:Author>
      <b:Author>
        <b:NameList>
          <b:Person>
            <b:Last>Rustiarini</b:Last>
            <b:First>Ni</b:First>
            <b:Middle>Wayan</b:Middle>
          </b:Person>
          <b:Person>
            <b:Last>Sutrisno</b:Last>
          </b:Person>
          <b:Person>
            <b:Last>Nurkholis</b:Last>
          </b:Person>
          <b:Person>
            <b:Last>Andayani</b:Last>
            <b:First>Wuryan</b:First>
          </b:Person>
        </b:NameList>
      </b:Author>
    </b:Author>
    <b:JournalName>Journal of Financial Crime</b:JournalName>
    <b:Pages>951-968</b:Pages>
    <b:RefOrder>15</b:RefOrder>
  </b:Source>
  <b:Source>
    <b:Tag>Edy17</b:Tag>
    <b:SourceType>JournalArticle</b:SourceType>
    <b:Guid>{39342943-7EF2-4763-850D-181D14AE469A}</b:Guid>
    <b:Author>
      <b:Author>
        <b:NameList>
          <b:Person>
            <b:Last>Purwanto</b:Last>
            <b:First>Edy</b:First>
          </b:Person>
          <b:Person>
            <b:Last>Mulyadi</b:Last>
            <b:First>JMV</b:First>
          </b:Person>
          <b:Person>
            <b:Last>Anwar</b:Last>
            <b:First>Choirul</b:First>
          </b:Person>
        </b:NameList>
      </b:Author>
    </b:Author>
    <b:Title>Kajian Konsep Diamond Fraud Theory Dalam Menunjang Efektivitas Pengadaan Barang/Jasa di Pemerintah Kota Bogor</b:Title>
    <b:JournalName>Jurnal Manajemen Indonesia</b:JournalName>
    <b:Year>2017</b:Year>
    <b:Pages>149-162</b:Pages>
    <b:RefOrder>16</b:RefOrder>
  </b:Source>
  <b:Source>
    <b:Tag>Sur19</b:Tag>
    <b:SourceType>JournalArticle</b:SourceType>
    <b:Guid>{7D6F2ABE-F2B5-4DDB-9EAA-877C1A651426}</b:Guid>
    <b:Author>
      <b:Author>
        <b:NameList>
          <b:Person>
            <b:Last>Pujoyono</b:Last>
            <b:First>Surya</b:First>
          </b:Person>
          <b:Person>
            <b:Last>Akbar</b:Last>
            <b:First>Bahrullah</b:First>
          </b:Person>
          <b:Person>
            <b:Last>Djaenuri</b:Last>
            <b:First>Aries</b:First>
          </b:Person>
          <b:Person>
            <b:Last>Ilham</b:Last>
            <b:First>Muh</b:First>
          </b:Person>
        </b:NameList>
      </b:Author>
    </b:Author>
    <b:Title>Pentingnya Kepemimpinan dan Kompetensi Dalam Meningkatkan Kinerja Pengadaan Barang dan Jasa Pemerintah</b:Title>
    <b:JournalName>Jurnal Papatung</b:JournalName>
    <b:Year>2019</b:Year>
    <b:Pages>145-151</b:Pages>
    <b:RefOrder>17</b:RefOrder>
  </b:Source>
  <b:Source>
    <b:Tag>Dew20</b:Tag>
    <b:SourceType>JournalArticle</b:SourceType>
    <b:Guid>{259C2EC0-4E94-478F-BA4F-89BD301F8C65}</b:Guid>
    <b:Author>
      <b:Author>
        <b:NameList>
          <b:Person>
            <b:Last>Juliantini</b:Last>
            <b:First>Dewa</b:First>
            <b:Middle>Ayu Toga</b:Middle>
          </b:Person>
          <b:Person>
            <b:Last>Padnyawati</b:Last>
            <b:First>Kadek</b:First>
            <b:Middle>Dewi</b:Middle>
          </b:Person>
        </b:NameList>
      </b:Author>
    </b:Author>
    <b:Title>Analisis Faktor-Faktor yang Mempengaruhi Procurement Fraud: Sebuah Kajian dari Perspektif Persepsian Auditor Independen Pemerintah</b:Title>
    <b:JournalName>Hita Akuntansi dan Keuangan</b:JournalName>
    <b:Year>2020</b:Year>
    <b:Pages>619-649</b:Pages>
    <b:RefOrder>1</b:RefOrder>
  </b:Source>
  <b:Source>
    <b:Tag>Ilh17</b:Tag>
    <b:SourceType>JournalArticle</b:SourceType>
    <b:Guid>{FA67239B-9A00-47E9-BA33-0EAC6E637377}</b:Guid>
    <b:Author>
      <b:Author>
        <b:NameList>
          <b:Person>
            <b:Last>Ilham</b:Last>
          </b:Person>
          <b:Person>
            <b:Last>Asmony</b:Last>
            <b:First>Thatok</b:First>
          </b:Person>
          <b:Person>
            <b:Last>Handajani</b:Last>
            <b:First>Lilik</b:First>
          </b:Person>
        </b:NameList>
      </b:Author>
    </b:Author>
    <b:Title>The Governance of E-procurement in Preventing Fraud Trends of Goods/Services Procurement: A Phenomenological Study</b:Title>
    <b:JournalName>International Conference and Call for Papers</b:JournalName>
    <b:Year>2017</b:Year>
    <b:Pages>1731-1752</b:Pages>
    <b:RefOrder>18</b:RefOrder>
  </b:Source>
  <b:Source>
    <b:Tag>Joh18</b:Tag>
    <b:SourceType>Book</b:SourceType>
    <b:Guid>{B828FCE2-BC17-47A7-9D54-B4BB6FD449D0}</b:Guid>
    <b:Title>Research Design: Qualitative, Quantitative, and Mixed Methods Approaches (Fifth Edition)</b:Title>
    <b:Year>2018</b:Year>
    <b:Author>
      <b:Author>
        <b:NameList>
          <b:Person>
            <b:Last>Creswell</b:Last>
            <b:First>John</b:First>
            <b:Middle>W</b:Middle>
          </b:Person>
          <b:Person>
            <b:Last>Creswell</b:Last>
            <b:First>J</b:First>
            <b:Middle>David</b:Middle>
          </b:Person>
        </b:NameList>
      </b:Author>
    </b:Author>
    <b:Publisher>SAGE Publications, Inc</b:Publisher>
    <b:RefOrder>6</b:RefOrder>
  </b:Source>
  <b:Source>
    <b:Tag>Don53</b:Tag>
    <b:SourceType>Book</b:SourceType>
    <b:Guid>{543F52DB-1B54-497C-82C8-102A56DA9DA9}</b:Guid>
    <b:Title>Other People's Money: A Study in the Social Psychology of Embezzlement</b:Title>
    <b:Year>1953</b:Year>
    <b:Author>
      <b:Author>
        <b:NameList>
          <b:Person>
            <b:Last>Cressey</b:Last>
            <b:First>Donald</b:First>
            <b:Middle>Ray</b:Middle>
          </b:Person>
        </b:NameList>
      </b:Author>
    </b:Author>
    <b:Publisher>Free Press</b:Publisher>
    <b:RefOrder>19</b:RefOrder>
  </b:Source>
  <b:Source>
    <b:Tag>Ara19</b:Tag>
    <b:SourceType>JournalArticle</b:SourceType>
    <b:Guid>{D6B5BB68-F5A2-4A9B-BCAE-4AB8DD6D8CEC}</b:Guid>
    <b:Author>
      <b:Author>
        <b:NameList>
          <b:Person>
            <b:Last>Akbar</b:Last>
            <b:First>Arasy</b:First>
            <b:Middle>Ghazali</b:Middle>
          </b:Person>
          <b:Person>
            <b:Last>Rosidi</b:Last>
          </b:Person>
          <b:Person>
            <b:Last>Andayani</b:Last>
            <b:First>Wuryan</b:First>
          </b:Person>
        </b:NameList>
      </b:Author>
    </b:Author>
    <b:Title>Pengaruh Implementasi E-procurement dan Sistem Pengendalian Internal Pemerintah terhadap Pencegahan Fraud Pengadaan Barang/Jasa dengan Budaya Etis Organisasi sebagai Pemoderasi</b:Title>
    <b:Year>2019</b:Year>
    <b:JournalName>Jurnal Economia</b:JournalName>
    <b:Pages>69-81</b:Pages>
    <b:RefOrder>20</b:RefOrder>
  </b:Source>
  <b:Source>
    <b:Tag>Rab15</b:Tag>
    <b:SourceType>JournalArticle</b:SourceType>
    <b:Guid>{E988F495-0F87-4385-9BD1-F297E8EB4804}</b:Guid>
    <b:Author>
      <b:Author>
        <b:NameList>
          <b:Person>
            <b:Last>Abdullahi</b:Last>
            <b:First>Rabi'u</b:First>
          </b:Person>
          <b:Person>
            <b:Last>Mansor</b:Last>
            <b:First>Noorhayati</b:First>
          </b:Person>
        </b:NameList>
      </b:Author>
    </b:Author>
    <b:Title>Fraud Triangle Theory and Fraud Diamond Theory. Understanding the Convergent and Divergent for Future Research</b:Title>
    <b:JournalName>International Journal of Academic Research in Accounting, Finance, and Management Sciences</b:JournalName>
    <b:Year>2015</b:Year>
    <b:Pages>38-45</b:Pages>
    <b:RefOrder>4</b:RefOrder>
  </b:Source>
  <b:Source>
    <b:Tag>Sal17</b:Tag>
    <b:SourceType>Book</b:SourceType>
    <b:Guid>{71E77602-C0E7-4143-A90E-5B02CF6969D1}</b:Guid>
    <b:Title>Government Budgeting and Expenditure Mangement</b:Title>
    <b:Year>2017</b:Year>
    <b:Author>
      <b:Author>
        <b:NameList>
          <b:Person>
            <b:Last>Sciavo-Campo</b:Last>
            <b:First>Salvatore</b:First>
          </b:Person>
        </b:NameList>
      </b:Author>
    </b:Author>
    <b:City>New York</b:City>
    <b:Publisher>Routledge</b:Publisher>
    <b:RefOrder>21</b:RefOrder>
  </b:Source>
  <b:Source>
    <b:Tag>Alf13</b:Tag>
    <b:SourceType>BookSection</b:SourceType>
    <b:Guid>{61866D16-D17E-4556-9836-0037925BB0A0}</b:Guid>
    <b:Title>The Role of Procurement</b:Title>
    <b:Year>2013</b:Year>
    <b:City>New York</b:City>
    <b:Publisher>Palgrave Macmillan</b:Publisher>
    <b:Author>
      <b:Author>
        <b:NameList>
          <b:Person>
            <b:Last>Sanchez</b:Last>
            <b:First>Alfonso</b:First>
          </b:Person>
        </b:NameList>
      </b:Author>
      <b:BookAuthor>
        <b:NameList>
          <b:Person>
            <b:Last>Allen</b:Last>
            <b:First>Richard</b:First>
          </b:Person>
          <b:Person>
            <b:Last>Hemming</b:Last>
            <b:First>Richard</b:First>
          </b:Person>
          <b:Person>
            <b:Last>Potter</b:Last>
            <b:First>Barry</b:First>
            <b:Middle>H.</b:Middle>
          </b:Person>
        </b:NameList>
      </b:BookAuthor>
    </b:Author>
    <b:BookTitle>The International Handbook of Public Financial Management</b:BookTitle>
    <b:Pages>312-335</b:Pages>
    <b:RefOrder>5</b:RefOrder>
  </b:Source>
  <b:Source>
    <b:Tag>Jam12</b:Tag>
    <b:SourceType>Book</b:SourceType>
    <b:Guid>{F58A6F52-E510-4632-B638-E76D11F83AB7}</b:Guid>
    <b:Author>
      <b:Author>
        <b:NameList>
          <b:Person>
            <b:Last>Gibson</b:Last>
            <b:First>James</b:First>
            <b:Middle>L.</b:Middle>
          </b:Person>
          <b:Person>
            <b:Last>Ivancevich</b:Last>
            <b:First>John</b:First>
            <b:Middle>M.</b:Middle>
          </b:Person>
          <b:Person>
            <b:Last>Donnelly</b:Last>
            <b:First>James</b:First>
            <b:Middle>H.</b:Middle>
          </b:Person>
          <b:Person>
            <b:Last>Konopaske</b:Last>
            <b:First>Robert</b:First>
          </b:Person>
        </b:NameList>
      </b:Author>
    </b:Author>
    <b:Title>Organizations: Behavior, Structure, Processes</b:Title>
    <b:Year>2012</b:Year>
    <b:City>New York</b:City>
    <b:Publisher>McGraw-Hill</b:Publisher>
    <b:RefOrder>22</b:RefOrder>
  </b:Source>
  <b:Source>
    <b:Tag>Muh17</b:Tag>
    <b:SourceType>JournalArticle</b:SourceType>
    <b:Guid>{059BE36B-E15A-4D00-80C2-A8791B5E1A84}</b:Guid>
    <b:Author>
      <b:Author>
        <b:NameList>
          <b:Person>
            <b:Last>Kibtiyah</b:Last>
            <b:First>Muhimatul</b:First>
          </b:Person>
          <b:Person>
            <b:Last>Wirakusuma</b:Last>
            <b:First>Made</b:First>
            <b:Middle>Gede</b:Middle>
          </b:Person>
          <b:Person>
            <b:Last>Sari</b:Last>
            <b:First>Maria</b:First>
            <b:Middle>M. Ratna</b:Middle>
          </b:Person>
        </b:NameList>
      </b:Author>
    </b:Author>
    <b:Title>Pengaruh Kompetensi, Budaya Organisasi, dan Gaya Kepemimpinan Pada Efektifitas Sistem Pengendalian Intern Pengadaan Barang/Jasa Pemerintah</b:Title>
    <b:JournalName>E-Jurnal Ekonomi dan Bisnis Universitas Udayana</b:JournalName>
    <b:Year>2017</b:Year>
    <b:RefOrder>23</b:RefOrder>
  </b:Source>
  <b:Source>
    <b:Tag>Sou20</b:Tag>
    <b:SourceType>JournalArticle</b:SourceType>
    <b:Guid>{5C298B16-9405-4052-A5BB-4B14EF64BB12}</b:Guid>
    <b:Author>
      <b:Author>
        <b:NameList>
          <b:Person>
            <b:Last>Batubara</b:Last>
            <b:First>Soulthan</b:First>
            <b:Middle>S.</b:Middle>
          </b:Person>
        </b:NameList>
      </b:Author>
    </b:Author>
    <b:Title>Pengaruh Gaya Kepemimpinan Terhadap Kinerja Karyawan Pada Departemen Pengadaan PT Inalum (Persero)</b:Title>
    <b:JournalName>Liabilities Jurnal Pendidikan Akuntansi</b:JournalName>
    <b:Year>2020</b:Year>
    <b:Pages>40-58</b:Pages>
    <b:RefOrder>24</b:RefOrder>
  </b:Source>
  <b:Source>
    <b:Tag>Sur17</b:Tag>
    <b:SourceType>JournalArticle</b:SourceType>
    <b:Guid>{60ECAE59-2A97-4485-A69C-B12C2631D4CF}</b:Guid>
    <b:Author>
      <b:Author>
        <b:NameList>
          <b:Person>
            <b:Last>Ahmad</b:Last>
            <b:First>Surya</b:First>
            <b:Middle>H.</b:Middle>
          </b:Person>
          <b:Person>
            <b:Last>Sondakh</b:Last>
            <b:First>Jullie</b:First>
            <b:Middle>J.</b:Middle>
          </b:Person>
          <b:Person>
            <b:Last>Morasa</b:Last>
            <b:First>Jenny</b:First>
          </b:Person>
        </b:NameList>
      </b:Author>
    </b:Author>
    <b:Title>Analisis Faktor-Faktor Yang Mempengaruhi Kualitas Pelaksanaan Pengadaan Barang/Jasa di Pemerintah Provinsi Gorontalo</b:Title>
    <b:JournalName>Jurnal Riset Akuntansi dan Auditing Goodwill</b:JournalName>
    <b:Year>2017</b:Year>
    <b:Pages>308-316</b:Pages>
    <b:RefOrder>25</b:RefOrder>
  </b:Source>
  <b:Source>
    <b:Tag>Her16</b:Tag>
    <b:SourceType>JournalArticle</b:SourceType>
    <b:Guid>{6B7CADDE-FE0F-440A-90B7-49B04D6BBEBA}</b:Guid>
    <b:Author>
      <b:Author>
        <b:NameList>
          <b:Person>
            <b:Last>Astuti</b:Last>
            <b:First>Herlina</b:First>
            <b:Middle>Tri</b:Middle>
          </b:Person>
        </b:NameList>
      </b:Author>
    </b:Author>
    <b:Title>Analisis Faktor-Faktor Yang Mempengaruhi Fraud Pengadaan Barang/Jasa di Lingkungan Instansi Pemerintah Provinsi Kepulauan Riau</b:Title>
    <b:Year>2016</b:Year>
    <b:RefOrder>26</b:RefOrder>
  </b:Source>
  <b:Source>
    <b:Tag>Noo20</b:Tag>
    <b:SourceType>JournalArticle</b:SourceType>
    <b:Guid>{5D6F4B52-2EBA-4EC1-9CEA-5BC1FC47698B}</b:Guid>
    <b:Author>
      <b:Author>
        <b:NameList>
          <b:Person>
            <b:Last>Efayanti</b:Last>
            <b:First>Noor</b:First>
          </b:Person>
        </b:NameList>
      </b:Author>
    </b:Author>
    <b:Title>Analisis Faktor-Faktor yang Mempengaruhi Fraud Pengadaan Barang/Jasa Pada Organisasi Perangkat Daerah (OPD) Kabupaten Kudus</b:Title>
    <b:Year>2020</b:Year>
    <b:RefOrder>27</b:RefOrder>
  </b:Source>
  <b:Source>
    <b:Tag>Nur11</b:Tag>
    <b:SourceType>JournalArticle</b:SourceType>
    <b:Guid>{765C77B6-4598-4F0B-B22B-06648BEFFB08}</b:Guid>
    <b:Author>
      <b:Author>
        <b:NameList>
          <b:Person>
            <b:Last>Jatiningtyas</b:Last>
            <b:First>Nurani</b:First>
          </b:Person>
        </b:NameList>
      </b:Author>
    </b:Author>
    <b:Title>Analisis Faktor-Faktor yang Mempengaruhi Fraud Pengadaan Barang/Jasa Pada Lingkungan Instansi Pemerintah Di Wilayah Semarang</b:Title>
    <b:Year>2011</b:Year>
    <b:RefOrder>28</b:RefOrder>
  </b:Source>
  <b:Source>
    <b:Tag>Nik14</b:Tag>
    <b:SourceType>JournalArticle</b:SourceType>
    <b:Guid>{CC49E624-DF76-444D-A496-C51EBB2DED71}</b:Guid>
    <b:Author>
      <b:Author>
        <b:NameList>
          <b:Person>
            <b:Last>Yanavia</b:Last>
            <b:First>Nike</b:First>
            <b:Middle>Lolita</b:Middle>
          </b:Person>
        </b:NameList>
      </b:Author>
    </b:Author>
    <b:Title>Analisis Faktor-Faktor yang Mendorong Terjadinya Fraud Pengadaan Barang/Jasa Pada Lingkungan Instansi Pemerintah Propinsi Sumatera Barat</b:Title>
    <b:Year>2014</b:Year>
    <b:RefOrder>29</b:RefOrder>
  </b:Source>
  <b:Source>
    <b:Tag>Fer19</b:Tag>
    <b:SourceType>JournalArticle</b:SourceType>
    <b:Guid>{8EC8C165-B795-424E-B7E8-879A90DDDF13}</b:Guid>
    <b:Author>
      <b:Author>
        <b:NameList>
          <b:Person>
            <b:Last>Simangunsong</b:Last>
            <b:First>Fernando</b:First>
          </b:Person>
        </b:NameList>
      </b:Author>
    </b:Author>
    <b:Title>Faktor-Faktor yang Memengaruhi Fraud Pengadaan Barang/Jasa: Kajian dari Perspektif Persepsian Auditor Internal Pada Perguruan Tinggi Negeri di Yogyakarta</b:Title>
    <b:Year>2019</b:Year>
    <b:RefOrder>30</b:RefOrder>
  </b:Source>
  <b:Source>
    <b:Tag>Ams17</b:Tag>
    <b:SourceType>JournalArticle</b:SourceType>
    <b:Guid>{8622436F-958C-4369-9B27-A49AFC772A68}</b:Guid>
    <b:Author>
      <b:Author>
        <b:NameList>
          <b:Person>
            <b:Last>Keno</b:Last>
            <b:First>Amsalu</b:First>
          </b:Person>
        </b:NameList>
      </b:Author>
    </b:Author>
    <b:Title>Determinants of Procurement Performance in Wolaita Sodo University: Customers Perception</b:Title>
    <b:JournalName>European Journal of Business and Management</b:JournalName>
    <b:Year>2017</b:Year>
    <b:Pages>10-15</b:Pages>
    <b:RefOrder>31</b:RefOrder>
  </b:Source>
  <b:Source>
    <b:Tag>Teu18</b:Tag>
    <b:SourceType>JournalArticle</b:SourceType>
    <b:Guid>{715BA080-5562-4DBC-BBE4-7DB474A0A357}</b:Guid>
    <b:Author>
      <b:Author>
        <b:NameList>
          <b:Person>
            <b:Last>Albar</b:Last>
            <b:First>Teuku</b:First>
            <b:Middle>Meurah</b:Middle>
          </b:Person>
          <b:Person>
            <b:Last>Fitri</b:Last>
            <b:First>Fauziah</b:First>
            <b:Middle>Aida</b:Middle>
          </b:Person>
        </b:NameList>
      </b:Author>
    </b:Author>
    <b:Title>Pengaruh Komitmen Organisasi, Etika Organisasi, Keadilan Kompensasi, dan Sistem Pengendalian Internal Terhadap Fraud (Studi Empiris Pada SKPD Pemerintah Kota Lhokseumawe)</b:Title>
    <b:JournalName>Jurnal Ilmiah Mahasiswa Ekonomi dan Akuntansi</b:JournalName>
    <b:Year>2018</b:Year>
    <b:Pages>527-537</b:Pages>
    <b:RefOrder>32</b:RefOrder>
  </b:Source>
  <b:Source>
    <b:Tag>NiL15</b:Tag>
    <b:SourceType>JournalArticle</b:SourceType>
    <b:Guid>{200F0D56-1CE3-4689-B3AE-18E299B5622C}</b:Guid>
    <b:Author>
      <b:Author>
        <b:NameList>
          <b:Person>
            <b:Last>Sari</b:Last>
            <b:First>Ni</b:First>
            <b:Middle>Luh Putu Purnama</b:Middle>
          </b:Person>
          <b:Person>
            <b:Last>Yuniarta</b:Last>
            <b:First>Gede</b:First>
            <b:Middle>Adi</b:Middle>
          </b:Person>
          <b:Person>
            <b:Last>Adiputra</b:Last>
            <b:First>I</b:First>
            <b:Middle>Made Pradana</b:Middle>
          </b:Person>
        </b:NameList>
      </b:Author>
    </b:Author>
    <b:Title>Pengaruh Efektivitas Sistem Pengendalian Internal, Ketaatan Aturan Akuntansi, Persepsi Kesesuaian Kompensasi dan Implementasi Good Governance Terhadap Kecenderungan Fraud (Studi Empiris Pada SKPD di Kabupaten Tabanan)</b:Title>
    <b:JournalName>Jurnal Ilmiah Mahasiswa Akuntansi UDIKSHA</b:JournalName>
    <b:Year>2015</b:Year>
    <b:RefOrder>33</b:RefOrder>
  </b:Source>
  <b:Source>
    <b:Tag>Riz13</b:Tag>
    <b:SourceType>JournalArticle</b:SourceType>
    <b:Guid>{7E7FF8C0-5BF6-4937-A719-21331B26AD6D}</b:Guid>
    <b:Author>
      <b:Author>
        <b:NameList>
          <b:Person>
            <b:Last>Zainal</b:Last>
            <b:First>Rizki</b:First>
          </b:Person>
        </b:NameList>
      </b:Author>
    </b:Author>
    <b:Title>Pengaruh Efektivitas Pengendalian Internal, Asimetri Informasi, dan Kesesuaian Kompensasi Terhadap Kecenderungan Kecurangan Akuntansi (Fraud)</b:Title>
    <b:Year>2013</b:Year>
    <b:RefOrder>34</b:RefOrder>
  </b:Source>
  <b:Source>
    <b:Tag>Kot04</b:Tag>
    <b:SourceType>Book</b:SourceType>
    <b:Guid>{65A9799D-C4F4-44A4-AA45-D44411F21729}</b:Guid>
    <b:Author>
      <b:Author>
        <b:NameList>
          <b:Person>
            <b:Last>Kothari</b:Last>
            <b:First>C.R.</b:First>
          </b:Person>
        </b:NameList>
      </b:Author>
    </b:Author>
    <b:Title>Research Methodology Methods and Techniques</b:Title>
    <b:Year>2004</b:Year>
    <b:City>New Delhi</b:City>
    <b:Publisher>New Age International</b:Publisher>
    <b:RefOrder>35</b:RefOrder>
  </b:Source>
  <b:Source>
    <b:Tag>Ima18</b:Tag>
    <b:SourceType>Book</b:SourceType>
    <b:Guid>{711AC851-26C3-48CA-A9F6-D8599D92C684}</b:Guid>
    <b:Author>
      <b:Author>
        <b:NameList>
          <b:Person>
            <b:Last>Ghozali</b:Last>
            <b:First>Imam</b:First>
          </b:Person>
        </b:NameList>
      </b:Author>
    </b:Author>
    <b:Title>Structural Equation Model Metode Alternatif Dengan Partial Least Square (PLS)</b:Title>
    <b:Year>2018</b:Year>
    <b:City>Semarang</b:City>
    <b:Publisher>Badan Penerbit Universitas Diponegoro</b:Publisher>
    <b:RefOrder>8</b:RefOrder>
  </b:Source>
  <b:Source>
    <b:Tag>Ken19</b:Tag>
    <b:SourceType>Book</b:SourceType>
    <b:Guid>{BC7450BC-5ABA-47E4-9C16-2EA0E5195648}</b:Guid>
    <b:Author>
      <b:Author>
        <b:NameList>
          <b:Person>
            <b:Last>Wong</b:Last>
            <b:First>Ken</b:First>
            <b:Middle>Kwong-Kay</b:Middle>
          </b:Person>
        </b:NameList>
      </b:Author>
    </b:Author>
    <b:Title>Mastering Partial Least Square Structural Equation Modeling (PLS-SEM) with SmartPLS in 38 Hours</b:Title>
    <b:Year>2019</b:Year>
    <b:City>Bloomington</b:City>
    <b:Publisher>iUniverse</b:Publisher>
    <b:RefOrder>9</b:RefOrder>
  </b:Source>
  <b:Source>
    <b:Tag>Bag88</b:Tag>
    <b:SourceType>JournalArticle</b:SourceType>
    <b:Guid>{C65D5501-C35A-4F6C-BC46-09C76755296C}</b:Guid>
    <b:Author>
      <b:Author>
        <b:NameList>
          <b:Person>
            <b:Last>Bagozzi</b:Last>
            <b:First>Richard</b:First>
            <b:Middle>P.</b:Middle>
          </b:Person>
          <b:Person>
            <b:Last>Yi</b:Last>
            <b:First>Youjae</b:First>
          </b:Person>
        </b:NameList>
      </b:Author>
    </b:Author>
    <b:Title>On the Evaluation of Structural Equation Models</b:Title>
    <b:Year>1988</b:Year>
    <b:JournalName>Journal the Academy of Marketing Science</b:JournalName>
    <b:Pages>74-94</b:Pages>
    <b:RefOrder>10</b:RefOrder>
  </b:Source>
  <b:Source>
    <b:Tag>Joe</b:Tag>
    <b:SourceType>JournalArticle</b:SourceType>
    <b:Guid>{C3D3A73C-36E8-411A-8FF3-729481AD81BE}</b:Guid>
    <b:Author>
      <b:Author>
        <b:NameList>
          <b:Person>
            <b:Last>Hair</b:Last>
            <b:First>Joe</b:First>
            <b:Middle>F.</b:Middle>
          </b:Person>
          <b:Person>
            <b:Last>Ringle</b:Last>
            <b:First>Christian</b:First>
            <b:Middle>M.</b:Middle>
          </b:Person>
          <b:Person>
            <b:Last>Sarstedt</b:Last>
            <b:First>Marko</b:First>
          </b:Person>
        </b:NameList>
      </b:Author>
    </b:Author>
    <b:Title>PLS-SEM: Indeed a Silver Bullet</b:Title>
    <b:JournalName>Journal of Marketing Theory and Practice</b:JournalName>
    <b:Year>2011</b:Year>
    <b:Pages>139-151</b:Pages>
    <b:RefOrder>36</b:RefOrder>
  </b:Source>
  <b:Source>
    <b:Tag>Agu16</b:Tag>
    <b:SourceType>JournalArticle</b:SourceType>
    <b:Guid>{2FEE27B1-B534-4AB5-A4D1-F5E691FFBD38}</b:Guid>
    <b:Author>
      <b:Author>
        <b:NameList>
          <b:Person>
            <b:Last>Hasanudin</b:Last>
            <b:First>Agung</b:First>
            <b:Middle>Irjayanto</b:Middle>
          </b:Person>
          <b:Person>
            <b:Last>Pangayow</b:Last>
            <b:First>Bill</b:First>
            <b:Middle>J. C.</b:Middle>
          </b:Person>
        </b:NameList>
      </b:Author>
    </b:Author>
    <b:Title>Analisis Faktor-Faktor yang Berpengaruh Terhadap Kecenderungan Kecurangan Akuntansi dan Perilaku Tidak Etis (Studi Kasus Pada SKPD di Kabupaten Keerom)</b:Title>
    <b:JournalName>Jurnal Akuntansi dan Keuangan Daerah</b:JournalName>
    <b:Year>2016</b:Year>
    <b:Pages>1-12</b:Pages>
    <b:RefOrder>37</b:RefOrder>
  </b:Source>
</b:Sources>
</file>

<file path=customXml/itemProps1.xml><?xml version="1.0" encoding="utf-8"?>
<ds:datastoreItem xmlns:ds="http://schemas.openxmlformats.org/officeDocument/2006/customXml" ds:itemID="{94F401B7-31B7-4E3D-B64E-3F67709B4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28926</Words>
  <Characters>164884</Characters>
  <Application>Microsoft Office Word</Application>
  <DocSecurity>0</DocSecurity>
  <Lines>1374</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HANAFI HIDAYAT</dc:creator>
  <cp:keywords/>
  <dc:description/>
  <cp:lastModifiedBy>muhammad iqbal</cp:lastModifiedBy>
  <cp:revision>4</cp:revision>
  <cp:lastPrinted>2022-01-17T23:36:00Z</cp:lastPrinted>
  <dcterms:created xsi:type="dcterms:W3CDTF">2022-01-04T06:20:00Z</dcterms:created>
  <dcterms:modified xsi:type="dcterms:W3CDTF">2022-01-17T23:36:00Z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af8f39c2-e4b2-3bfa-b918-5ac90c344d71</vt:lpwstr>
  </property>
  <property fmtid="{D5CDD505-2E9C-101B-9397-08002B2CF9AE}" pid="4" name="Mendeley Citation Style_1">
    <vt:lpwstr>http://www.zotero.org/styles/apa</vt:lpwstr>
  </property>
</Properties>
</file>